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bookmarkStart w:id="0" w:name="_GoBack"/>
      <w:bookmarkEnd w:id="0"/>
    </w:p>
    <w:p>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eastAsia="zh-CN"/>
        </w:rPr>
        <w:t>千家峒瑶族乡学校</w:t>
      </w:r>
      <w:r>
        <w:rPr>
          <w:rFonts w:eastAsia="方正小标宋_GBK"/>
          <w:sz w:val="48"/>
          <w:szCs w:val="48"/>
        </w:rPr>
        <w:t>整体</w:t>
      </w:r>
      <w:r>
        <w:rPr>
          <w:rFonts w:hint="eastAsia" w:eastAsia="方正小标宋_GBK"/>
          <w:sz w:val="48"/>
          <w:szCs w:val="48"/>
        </w:rPr>
        <w:t>支</w:t>
      </w:r>
      <w:r>
        <w:rPr>
          <w:rFonts w:eastAsia="方正小标宋_GBK"/>
          <w:sz w:val="48"/>
          <w:szCs w:val="48"/>
        </w:rPr>
        <w:t>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rPr>
          <w:rFonts w:hint="eastAsia" w:eastAsia="黑体"/>
          <w:sz w:val="36"/>
          <w:szCs w:val="36"/>
        </w:rPr>
      </w:pPr>
      <w:r>
        <w:rPr>
          <w:rFonts w:eastAsia="黑体"/>
          <w:sz w:val="36"/>
          <w:szCs w:val="36"/>
        </w:rPr>
        <w:t>单位名称（盖章）：</w:t>
      </w:r>
      <w:r>
        <w:rPr>
          <w:rFonts w:hint="eastAsia" w:eastAsia="黑体"/>
          <w:sz w:val="36"/>
          <w:szCs w:val="36"/>
        </w:rPr>
        <w:t>江永县</w:t>
      </w:r>
      <w:r>
        <w:rPr>
          <w:rFonts w:hint="eastAsia" w:eastAsia="黑体"/>
          <w:sz w:val="36"/>
          <w:szCs w:val="36"/>
          <w:lang w:eastAsia="zh-CN"/>
        </w:rPr>
        <w:t>千家峒瑶族乡学校</w:t>
      </w: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hint="eastAsia" w:eastAsiaTheme="minorEastAsia"/>
          <w:sz w:val="36"/>
          <w:szCs w:val="36"/>
          <w:lang w:eastAsia="zh-CN"/>
        </w:rPr>
      </w:pPr>
      <w:r>
        <w:rPr>
          <w:rFonts w:hint="eastAsia"/>
          <w:sz w:val="36"/>
          <w:szCs w:val="36"/>
        </w:rPr>
        <w:t>2023年度江永县</w:t>
      </w:r>
      <w:r>
        <w:rPr>
          <w:rFonts w:hint="eastAsia"/>
          <w:sz w:val="36"/>
          <w:szCs w:val="36"/>
          <w:lang w:eastAsia="zh-CN"/>
        </w:rPr>
        <w:t>千家峒瑶族乡学校</w:t>
      </w:r>
    </w:p>
    <w:p>
      <w:pPr>
        <w:jc w:val="center"/>
        <w:rPr>
          <w:rFonts w:hint="eastAsia"/>
          <w:sz w:val="36"/>
          <w:szCs w:val="36"/>
        </w:rPr>
      </w:pPr>
      <w:r>
        <w:rPr>
          <w:rFonts w:hint="eastAsia"/>
          <w:sz w:val="36"/>
          <w:szCs w:val="36"/>
        </w:rPr>
        <w:t>部门整体支出绩效自评报告</w:t>
      </w:r>
    </w:p>
    <w:p>
      <w:pPr>
        <w:ind w:left="0" w:leftChars="0" w:firstLine="638" w:firstLineChars="228"/>
        <w:rPr>
          <w:rFonts w:hint="eastAsia"/>
          <w:sz w:val="28"/>
          <w:szCs w:val="28"/>
        </w:rPr>
      </w:pPr>
      <w:r>
        <w:rPr>
          <w:rFonts w:hint="eastAsia"/>
          <w:sz w:val="28"/>
          <w:szCs w:val="28"/>
        </w:rPr>
        <w:t>一、基本情况</w:t>
      </w:r>
    </w:p>
    <w:p>
      <w:pPr>
        <w:ind w:left="0" w:leftChars="0" w:firstLine="638" w:firstLineChars="228"/>
        <w:rPr>
          <w:rFonts w:hint="eastAsia"/>
          <w:sz w:val="28"/>
          <w:szCs w:val="28"/>
        </w:rPr>
      </w:pPr>
      <w:r>
        <w:rPr>
          <w:rFonts w:hint="eastAsia"/>
          <w:sz w:val="28"/>
          <w:szCs w:val="28"/>
        </w:rPr>
        <w:t>1</w:t>
      </w:r>
      <w:r>
        <w:rPr>
          <w:rFonts w:hint="eastAsia"/>
          <w:sz w:val="28"/>
          <w:szCs w:val="28"/>
          <w:lang w:eastAsia="zh-CN"/>
        </w:rPr>
        <w:t>、</w:t>
      </w:r>
      <w:r>
        <w:rPr>
          <w:rFonts w:hint="eastAsia"/>
          <w:sz w:val="28"/>
          <w:szCs w:val="28"/>
        </w:rPr>
        <w:t>江永县</w:t>
      </w:r>
      <w:r>
        <w:rPr>
          <w:rFonts w:hint="eastAsia"/>
          <w:sz w:val="28"/>
          <w:szCs w:val="28"/>
          <w:lang w:eastAsia="zh-CN"/>
        </w:rPr>
        <w:t>千家峒瑶族乡学校</w:t>
      </w:r>
      <w:r>
        <w:rPr>
          <w:rFonts w:hint="eastAsia"/>
          <w:sz w:val="28"/>
          <w:szCs w:val="28"/>
        </w:rPr>
        <w:t>现有在编教职工</w:t>
      </w:r>
      <w:r>
        <w:rPr>
          <w:rFonts w:hint="eastAsia"/>
          <w:sz w:val="28"/>
          <w:szCs w:val="28"/>
          <w:lang w:val="en-US" w:eastAsia="zh-CN"/>
        </w:rPr>
        <w:t>45</w:t>
      </w:r>
      <w:r>
        <w:rPr>
          <w:rFonts w:hint="eastAsia"/>
          <w:sz w:val="28"/>
          <w:szCs w:val="28"/>
        </w:rPr>
        <w:t>人，其中遗属补助人员</w:t>
      </w:r>
      <w:r>
        <w:rPr>
          <w:rFonts w:hint="eastAsia"/>
          <w:sz w:val="28"/>
          <w:szCs w:val="28"/>
          <w:lang w:val="en-US" w:eastAsia="zh-CN"/>
        </w:rPr>
        <w:t>7</w:t>
      </w:r>
      <w:r>
        <w:rPr>
          <w:rFonts w:hint="eastAsia"/>
          <w:sz w:val="28"/>
          <w:szCs w:val="28"/>
        </w:rPr>
        <w:t>人，退休人员</w:t>
      </w:r>
      <w:r>
        <w:rPr>
          <w:rFonts w:hint="eastAsia"/>
          <w:sz w:val="28"/>
          <w:szCs w:val="28"/>
          <w:lang w:val="en-US" w:eastAsia="zh-CN"/>
        </w:rPr>
        <w:t>23</w:t>
      </w:r>
      <w:r>
        <w:rPr>
          <w:rFonts w:hint="eastAsia"/>
          <w:sz w:val="28"/>
          <w:szCs w:val="28"/>
        </w:rPr>
        <w:t>人。</w:t>
      </w:r>
    </w:p>
    <w:p>
      <w:pPr>
        <w:ind w:left="0" w:leftChars="0" w:firstLine="638" w:firstLineChars="228"/>
        <w:rPr>
          <w:rFonts w:hint="eastAsia"/>
          <w:sz w:val="28"/>
          <w:szCs w:val="28"/>
        </w:rPr>
      </w:pPr>
      <w:r>
        <w:rPr>
          <w:rFonts w:hint="eastAsia"/>
          <w:sz w:val="28"/>
          <w:szCs w:val="28"/>
        </w:rPr>
        <w:t>2、本校共有</w:t>
      </w:r>
      <w:r>
        <w:rPr>
          <w:rFonts w:hint="eastAsia"/>
          <w:sz w:val="28"/>
          <w:szCs w:val="28"/>
          <w:lang w:val="en-US" w:eastAsia="zh-CN"/>
        </w:rPr>
        <w:t>11</w:t>
      </w:r>
      <w:r>
        <w:rPr>
          <w:rFonts w:hint="eastAsia"/>
          <w:sz w:val="28"/>
          <w:szCs w:val="28"/>
        </w:rPr>
        <w:t>个教学班，学生人数</w:t>
      </w:r>
      <w:r>
        <w:rPr>
          <w:rFonts w:hint="eastAsia"/>
          <w:sz w:val="28"/>
          <w:szCs w:val="28"/>
          <w:lang w:val="en-US" w:eastAsia="zh-CN"/>
        </w:rPr>
        <w:t>331</w:t>
      </w:r>
      <w:r>
        <w:rPr>
          <w:rFonts w:hint="eastAsia"/>
          <w:sz w:val="28"/>
          <w:szCs w:val="28"/>
        </w:rPr>
        <w:t>人(其中随班就读残疾</w:t>
      </w:r>
    </w:p>
    <w:p>
      <w:pPr>
        <w:rPr>
          <w:rFonts w:hint="eastAsia"/>
          <w:sz w:val="28"/>
          <w:szCs w:val="28"/>
        </w:rPr>
      </w:pPr>
      <w:r>
        <w:rPr>
          <w:rFonts w:hint="eastAsia"/>
          <w:sz w:val="28"/>
          <w:szCs w:val="28"/>
        </w:rPr>
        <w:t>学生</w:t>
      </w:r>
      <w:r>
        <w:rPr>
          <w:rFonts w:hint="eastAsia"/>
          <w:sz w:val="28"/>
          <w:szCs w:val="28"/>
          <w:lang w:val="en-US" w:eastAsia="zh-CN"/>
        </w:rPr>
        <w:t>4</w:t>
      </w:r>
      <w:r>
        <w:rPr>
          <w:rFonts w:hint="eastAsia"/>
          <w:sz w:val="28"/>
          <w:szCs w:val="28"/>
        </w:rPr>
        <w:t>人)。</w:t>
      </w:r>
    </w:p>
    <w:p>
      <w:pPr>
        <w:ind w:left="0" w:leftChars="0" w:firstLine="638" w:firstLineChars="228"/>
        <w:rPr>
          <w:rFonts w:hint="eastAsia"/>
          <w:sz w:val="28"/>
          <w:szCs w:val="28"/>
        </w:rPr>
      </w:pPr>
      <w:r>
        <w:rPr>
          <w:rFonts w:hint="eastAsia"/>
          <w:sz w:val="28"/>
          <w:szCs w:val="28"/>
        </w:rPr>
        <w:t>二、一般公共预算支出情况</w:t>
      </w:r>
    </w:p>
    <w:p>
      <w:pPr>
        <w:ind w:left="0" w:leftChars="0" w:firstLine="638" w:firstLineChars="228"/>
        <w:rPr>
          <w:rFonts w:hint="eastAsia"/>
          <w:sz w:val="28"/>
          <w:szCs w:val="28"/>
        </w:rPr>
      </w:pPr>
      <w:r>
        <w:rPr>
          <w:rFonts w:hint="eastAsia"/>
          <w:sz w:val="28"/>
          <w:szCs w:val="28"/>
        </w:rPr>
        <w:t>2023年度基本支出</w:t>
      </w:r>
      <w:r>
        <w:rPr>
          <w:rFonts w:hint="eastAsia"/>
          <w:sz w:val="28"/>
          <w:szCs w:val="28"/>
          <w:lang w:val="en-US" w:eastAsia="zh-CN"/>
        </w:rPr>
        <w:t>64.759</w:t>
      </w:r>
      <w:r>
        <w:rPr>
          <w:rFonts w:hint="eastAsia"/>
          <w:sz w:val="28"/>
          <w:szCs w:val="28"/>
        </w:rPr>
        <w:t>万元。主要用于教职工的工资、各项社保费、办公费、水电费、遗属生活补助、邮电费、差旅费、培训费、</w:t>
      </w:r>
    </w:p>
    <w:p>
      <w:pPr>
        <w:rPr>
          <w:rFonts w:hint="eastAsia"/>
          <w:sz w:val="28"/>
          <w:szCs w:val="28"/>
        </w:rPr>
      </w:pPr>
      <w:r>
        <w:rPr>
          <w:rFonts w:hint="eastAsia"/>
          <w:sz w:val="28"/>
          <w:szCs w:val="28"/>
        </w:rPr>
        <w:t>公务接待费、工会经费等。</w:t>
      </w:r>
    </w:p>
    <w:p>
      <w:pPr>
        <w:ind w:left="0" w:leftChars="0" w:firstLine="638" w:firstLineChars="228"/>
        <w:rPr>
          <w:rFonts w:hint="eastAsia"/>
          <w:sz w:val="28"/>
          <w:szCs w:val="28"/>
        </w:rPr>
      </w:pPr>
      <w:r>
        <w:rPr>
          <w:rFonts w:hint="eastAsia"/>
          <w:sz w:val="28"/>
          <w:szCs w:val="28"/>
        </w:rPr>
        <w:t>三、纳入专户管理的非税收入支出情况</w:t>
      </w:r>
    </w:p>
    <w:p>
      <w:pPr>
        <w:ind w:left="0" w:leftChars="0" w:firstLine="638" w:firstLineChars="228"/>
        <w:rPr>
          <w:rFonts w:hint="eastAsia"/>
          <w:sz w:val="28"/>
          <w:szCs w:val="28"/>
        </w:rPr>
      </w:pPr>
      <w:r>
        <w:rPr>
          <w:rFonts w:hint="eastAsia"/>
          <w:sz w:val="28"/>
          <w:szCs w:val="28"/>
        </w:rPr>
        <w:t>2023年度基本支出</w:t>
      </w:r>
      <w:r>
        <w:rPr>
          <w:rFonts w:hint="eastAsia"/>
          <w:sz w:val="28"/>
          <w:szCs w:val="28"/>
          <w:lang w:val="en-US" w:eastAsia="zh-CN"/>
        </w:rPr>
        <w:t>31.64</w:t>
      </w:r>
      <w:r>
        <w:rPr>
          <w:rFonts w:hint="eastAsia"/>
          <w:sz w:val="28"/>
          <w:szCs w:val="28"/>
        </w:rPr>
        <w:t>万元。主要用于教职工课后服务劳务费.弥补学校经费不足的日常支付。</w:t>
      </w:r>
    </w:p>
    <w:p>
      <w:pPr>
        <w:ind w:left="0" w:leftChars="0" w:firstLine="638" w:firstLineChars="228"/>
        <w:rPr>
          <w:rFonts w:hint="eastAsia"/>
          <w:sz w:val="28"/>
          <w:szCs w:val="28"/>
        </w:rPr>
      </w:pPr>
      <w:r>
        <w:rPr>
          <w:rFonts w:hint="eastAsia"/>
          <w:sz w:val="28"/>
          <w:szCs w:val="28"/>
        </w:rPr>
        <w:t>四、部门整体支出绩效情况</w:t>
      </w:r>
    </w:p>
    <w:p>
      <w:pPr>
        <w:ind w:left="0" w:leftChars="0" w:firstLine="638" w:firstLineChars="228"/>
        <w:rPr>
          <w:rFonts w:hint="eastAsia"/>
          <w:sz w:val="28"/>
          <w:szCs w:val="28"/>
        </w:rPr>
      </w:pPr>
      <w:r>
        <w:rPr>
          <w:rFonts w:hint="eastAsia"/>
          <w:sz w:val="28"/>
          <w:szCs w:val="28"/>
        </w:rPr>
        <w:t>通过绩效评价工作组对全部资金的实施情况进行了整体跟踪，从资金的拨付及使用进行了综合评价，认为目前资金已全部实施完成，学生、人民群众很满意，本次的绩效综合评价得分100分。</w:t>
      </w:r>
    </w:p>
    <w:p>
      <w:pPr>
        <w:ind w:left="0" w:leftChars="0" w:firstLine="638" w:firstLineChars="228"/>
        <w:rPr>
          <w:rFonts w:hint="eastAsia"/>
          <w:sz w:val="28"/>
          <w:szCs w:val="28"/>
        </w:rPr>
      </w:pPr>
      <w:r>
        <w:rPr>
          <w:rFonts w:hint="eastAsia"/>
          <w:sz w:val="28"/>
          <w:szCs w:val="28"/>
        </w:rPr>
        <w:t>五、存在的问题及原因分析</w:t>
      </w:r>
    </w:p>
    <w:p>
      <w:pPr>
        <w:ind w:left="0" w:leftChars="0" w:firstLine="638" w:firstLineChars="228"/>
        <w:rPr>
          <w:rFonts w:hint="eastAsia"/>
          <w:sz w:val="28"/>
          <w:szCs w:val="28"/>
        </w:rPr>
      </w:pPr>
      <w:r>
        <w:rPr>
          <w:rFonts w:hint="eastAsia"/>
          <w:sz w:val="28"/>
          <w:szCs w:val="28"/>
        </w:rPr>
        <w:t>单位在录单后，审核支付时间跨度大，造成日常工作的不便。</w:t>
      </w:r>
    </w:p>
    <w:p>
      <w:pPr>
        <w:ind w:left="0" w:leftChars="0" w:firstLine="638" w:firstLineChars="228"/>
        <w:rPr>
          <w:rFonts w:hint="eastAsia"/>
          <w:sz w:val="28"/>
          <w:szCs w:val="28"/>
        </w:rPr>
      </w:pPr>
      <w:r>
        <w:rPr>
          <w:rFonts w:hint="eastAsia"/>
          <w:sz w:val="28"/>
          <w:szCs w:val="28"/>
        </w:rPr>
        <w:t>六、下一步改进措施</w:t>
      </w:r>
    </w:p>
    <w:p>
      <w:pPr>
        <w:ind w:left="0" w:leftChars="0" w:firstLine="638" w:firstLineChars="228"/>
        <w:rPr>
          <w:rFonts w:hint="eastAsia"/>
          <w:sz w:val="28"/>
          <w:szCs w:val="28"/>
        </w:rPr>
      </w:pPr>
      <w:r>
        <w:rPr>
          <w:rFonts w:hint="eastAsia"/>
          <w:sz w:val="28"/>
          <w:szCs w:val="28"/>
        </w:rPr>
        <w:t>一是建议加大项目经费的投入力度，提高教学环境和质量，促进教育事业的健康快速高质量发展。</w:t>
      </w:r>
    </w:p>
    <w:p>
      <w:pPr>
        <w:ind w:left="0" w:leftChars="0" w:firstLine="638" w:firstLineChars="228"/>
        <w:rPr>
          <w:rFonts w:hint="eastAsia"/>
          <w:sz w:val="28"/>
          <w:szCs w:val="28"/>
        </w:rPr>
      </w:pPr>
      <w:r>
        <w:rPr>
          <w:rFonts w:hint="eastAsia"/>
          <w:sz w:val="28"/>
          <w:szCs w:val="28"/>
        </w:rPr>
        <w:t>二是进</w:t>
      </w:r>
      <w:r>
        <w:rPr>
          <w:rFonts w:hint="eastAsia"/>
          <w:sz w:val="28"/>
          <w:szCs w:val="28"/>
          <w:lang w:eastAsia="zh-CN"/>
        </w:rPr>
        <w:t>一</w:t>
      </w:r>
      <w:r>
        <w:rPr>
          <w:rFonts w:hint="eastAsia"/>
          <w:sz w:val="28"/>
          <w:szCs w:val="28"/>
        </w:rPr>
        <w:t>步健全和完善财务管理制度及内部控制制度,创新管理手段，用新思路、新方法，改进完善财务管理方法。按照财政支出绩效管理的要求，建立科学的财政资金效益考评制度体系，不断提高财</w:t>
      </w:r>
    </w:p>
    <w:p>
      <w:pPr>
        <w:rPr>
          <w:rFonts w:hint="eastAsia"/>
          <w:sz w:val="28"/>
          <w:szCs w:val="28"/>
        </w:rPr>
      </w:pPr>
      <w:r>
        <w:rPr>
          <w:rFonts w:hint="eastAsia"/>
          <w:sz w:val="28"/>
          <w:szCs w:val="28"/>
        </w:rPr>
        <w:t>政资金使用管理的水平和效率。</w:t>
      </w:r>
    </w:p>
    <w:p>
      <w:pPr>
        <w:rPr>
          <w:rFonts w:hint="eastAsia"/>
          <w:sz w:val="28"/>
          <w:szCs w:val="28"/>
        </w:rPr>
      </w:pPr>
    </w:p>
    <w:p>
      <w:pPr>
        <w:rPr>
          <w:rFonts w:hint="eastAsia"/>
          <w:sz w:val="28"/>
          <w:szCs w:val="28"/>
        </w:rPr>
      </w:pPr>
    </w:p>
    <w:p>
      <w:pPr>
        <w:rPr>
          <w:rFonts w:hint="eastAsia"/>
          <w:sz w:val="28"/>
          <w:szCs w:val="28"/>
        </w:rPr>
      </w:pPr>
    </w:p>
    <w:p>
      <w:pPr>
        <w:jc w:val="right"/>
        <w:rPr>
          <w:rFonts w:hint="eastAsia"/>
          <w:sz w:val="28"/>
          <w:szCs w:val="28"/>
          <w:lang w:eastAsia="zh-CN"/>
        </w:rPr>
      </w:pPr>
      <w:r>
        <w:rPr>
          <w:rFonts w:hint="eastAsia"/>
          <w:sz w:val="28"/>
          <w:szCs w:val="28"/>
          <w:lang w:eastAsia="zh-CN"/>
        </w:rPr>
        <w:t>江永县千家峒瑶族乡学校</w:t>
      </w:r>
    </w:p>
    <w:p>
      <w:pPr>
        <w:jc w:val="center"/>
        <w:rPr>
          <w:rFonts w:hint="default"/>
          <w:sz w:val="28"/>
          <w:szCs w:val="28"/>
          <w:lang w:val="en-US" w:eastAsia="zh-CN"/>
        </w:rPr>
      </w:pPr>
      <w:r>
        <w:rPr>
          <w:rFonts w:hint="eastAsia"/>
          <w:sz w:val="28"/>
          <w:szCs w:val="28"/>
          <w:lang w:val="en-US" w:eastAsia="zh-CN"/>
        </w:rPr>
        <w:t xml:space="preserve">                                      2024年4月15日</w:t>
      </w:r>
    </w:p>
    <w:p>
      <w:pPr>
        <w:widowControl/>
        <w:jc w:val="center"/>
        <w:rPr>
          <w:rFonts w:ascii="黑体" w:hAnsi="黑体" w:eastAsia="黑体"/>
          <w:kern w:val="0"/>
          <w:sz w:val="44"/>
          <w:szCs w:val="44"/>
        </w:rPr>
      </w:pPr>
    </w:p>
    <w:p>
      <w:pPr>
        <w:widowControl/>
        <w:jc w:val="center"/>
        <w:rPr>
          <w:rFonts w:ascii="黑体" w:hAnsi="黑体" w:eastAsia="黑体"/>
          <w:kern w:val="0"/>
          <w:sz w:val="44"/>
          <w:szCs w:val="44"/>
        </w:rPr>
      </w:pPr>
    </w:p>
    <w:p>
      <w:pPr>
        <w:widowControl/>
        <w:jc w:val="center"/>
        <w:rPr>
          <w:rFonts w:ascii="黑体" w:hAnsi="黑体" w:eastAsia="黑体"/>
          <w:kern w:val="0"/>
          <w:sz w:val="44"/>
          <w:szCs w:val="44"/>
        </w:rPr>
      </w:pPr>
    </w:p>
    <w:p>
      <w:pPr>
        <w:widowControl/>
        <w:jc w:val="center"/>
        <w:rPr>
          <w:rFonts w:ascii="黑体" w:hAnsi="黑体" w:eastAsia="黑体"/>
          <w:kern w:val="0"/>
          <w:sz w:val="44"/>
          <w:szCs w:val="44"/>
        </w:rPr>
      </w:pPr>
    </w:p>
    <w:p>
      <w:pPr>
        <w:widowControl/>
        <w:jc w:val="center"/>
        <w:rPr>
          <w:rFonts w:ascii="黑体" w:hAnsi="黑体" w:eastAsia="黑体"/>
          <w:kern w:val="0"/>
          <w:sz w:val="44"/>
          <w:szCs w:val="44"/>
        </w:rPr>
      </w:pPr>
    </w:p>
    <w:p>
      <w:pPr>
        <w:widowControl/>
        <w:jc w:val="center"/>
        <w:rPr>
          <w:rFonts w:ascii="黑体" w:hAnsi="黑体" w:eastAsia="黑体"/>
          <w:kern w:val="0"/>
          <w:sz w:val="44"/>
          <w:szCs w:val="44"/>
        </w:rPr>
      </w:pPr>
    </w:p>
    <w:p>
      <w:pPr>
        <w:widowControl/>
        <w:jc w:val="center"/>
        <w:rPr>
          <w:rFonts w:ascii="黑体" w:hAnsi="黑体" w:eastAsia="黑体"/>
          <w:kern w:val="0"/>
          <w:sz w:val="44"/>
          <w:szCs w:val="44"/>
        </w:rPr>
      </w:pPr>
    </w:p>
    <w:p>
      <w:pPr>
        <w:widowControl/>
        <w:jc w:val="center"/>
        <w:rPr>
          <w:rFonts w:ascii="黑体" w:hAnsi="黑体" w:eastAsia="黑体"/>
          <w:kern w:val="0"/>
          <w:sz w:val="44"/>
          <w:szCs w:val="44"/>
        </w:rPr>
      </w:pPr>
    </w:p>
    <w:p>
      <w:pPr>
        <w:widowControl/>
        <w:jc w:val="center"/>
        <w:rPr>
          <w:rFonts w:ascii="黑体" w:hAnsi="黑体" w:eastAsia="黑体"/>
          <w:kern w:val="0"/>
          <w:sz w:val="44"/>
          <w:szCs w:val="44"/>
        </w:rPr>
      </w:pPr>
    </w:p>
    <w:p>
      <w:pPr>
        <w:widowControl/>
        <w:jc w:val="center"/>
        <w:rPr>
          <w:rFonts w:ascii="黑体" w:hAnsi="黑体" w:eastAsia="黑体"/>
          <w:kern w:val="0"/>
          <w:sz w:val="44"/>
          <w:szCs w:val="44"/>
        </w:rPr>
      </w:pPr>
    </w:p>
    <w:p>
      <w:pPr>
        <w:widowControl/>
        <w:jc w:val="center"/>
        <w:rPr>
          <w:rFonts w:ascii="黑体" w:hAnsi="黑体" w:eastAsia="黑体"/>
          <w:kern w:val="0"/>
          <w:sz w:val="44"/>
          <w:szCs w:val="44"/>
        </w:rPr>
      </w:pPr>
    </w:p>
    <w:p>
      <w:pPr>
        <w:widowControl/>
        <w:jc w:val="center"/>
        <w:rPr>
          <w:rFonts w:ascii="黑体" w:hAnsi="黑体" w:eastAsia="黑体"/>
          <w:kern w:val="0"/>
          <w:sz w:val="44"/>
          <w:szCs w:val="44"/>
        </w:rPr>
      </w:pPr>
    </w:p>
    <w:p>
      <w:pPr>
        <w:widowControl/>
        <w:jc w:val="center"/>
        <w:rPr>
          <w:rFonts w:ascii="黑体" w:hAnsi="黑体" w:eastAsia="黑体"/>
          <w:kern w:val="0"/>
          <w:sz w:val="32"/>
          <w:szCs w:val="32"/>
        </w:rPr>
      </w:pPr>
      <w:r>
        <w:rPr>
          <w:rFonts w:hint="eastAsia" w:ascii="黑体" w:hAnsi="黑体" w:eastAsia="黑体"/>
          <w:kern w:val="0"/>
          <w:sz w:val="32"/>
          <w:szCs w:val="32"/>
        </w:rPr>
        <w:t>江永县</w:t>
      </w:r>
      <w:r>
        <w:rPr>
          <w:rFonts w:hint="eastAsia" w:ascii="黑体" w:hAnsi="黑体" w:eastAsia="黑体"/>
          <w:kern w:val="0"/>
          <w:sz w:val="32"/>
          <w:szCs w:val="32"/>
          <w:lang w:eastAsia="zh-CN"/>
        </w:rPr>
        <w:t>千家峒瑶族乡学校</w:t>
      </w:r>
      <w:r>
        <w:rPr>
          <w:rFonts w:ascii="黑体" w:hAnsi="黑体" w:eastAsia="黑体"/>
          <w:kern w:val="0"/>
          <w:sz w:val="32"/>
          <w:szCs w:val="32"/>
        </w:rPr>
        <w:t>部门整体支出绩效评价表</w:t>
      </w:r>
    </w:p>
    <w:tbl>
      <w:tblPr>
        <w:tblStyle w:val="4"/>
        <w:tblW w:w="0" w:type="auto"/>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trHeight w:val="2320" w:hRule="atLeast"/>
          <w:jc w:val="center"/>
        </w:trPr>
        <w:tc>
          <w:tcPr>
            <w:tcW w:w="5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hint="eastAsia" w:eastAsia="仿宋_GB2312"/>
                <w:kern w:val="0"/>
                <w:sz w:val="20"/>
                <w:szCs w:val="20"/>
                <w:lang w:eastAsia="zh-CN"/>
              </w:rPr>
              <w:t>“三公”经费</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noWrap/>
            <w:vAlign w:val="center"/>
          </w:tcPr>
          <w:p>
            <w:pPr>
              <w:widowControl/>
              <w:jc w:val="left"/>
              <w:rPr>
                <w:color w:val="000000"/>
                <w:kern w:val="0"/>
                <w:sz w:val="24"/>
              </w:rPr>
            </w:pPr>
            <w:r>
              <w:rPr>
                <w:color w:val="FF0000"/>
                <w:kern w:val="0"/>
                <w:sz w:val="24"/>
              </w:rPr>
              <w:t>　</w:t>
            </w:r>
            <w:r>
              <w:rPr>
                <w:rFonts w:hint="eastAsia"/>
                <w:color w:val="000000"/>
                <w:kern w:val="0"/>
                <w:sz w:val="24"/>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ign w:val="center"/>
          </w:tcPr>
          <w:p>
            <w:pPr>
              <w:widowControl/>
              <w:jc w:val="left"/>
              <w:rPr>
                <w:color w:val="000000"/>
                <w:kern w:val="0"/>
                <w:sz w:val="24"/>
              </w:rPr>
            </w:pPr>
            <w:r>
              <w:rPr>
                <w:rFonts w:hint="eastAsia"/>
                <w:color w:val="000000"/>
                <w:kern w:val="0"/>
                <w:sz w:val="24"/>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实际支出数</w:t>
            </w:r>
            <w:r>
              <w:rPr>
                <w:rFonts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5</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3251"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21</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ign w:val="center"/>
          </w:tcPr>
          <w:p>
            <w:pPr>
              <w:widowControl/>
              <w:jc w:val="left"/>
              <w:rPr>
                <w:kern w:val="0"/>
                <w:sz w:val="24"/>
              </w:rPr>
            </w:pPr>
            <w:r>
              <w:rPr>
                <w:kern w:val="0"/>
                <w:sz w:val="24"/>
              </w:rPr>
              <w:t>　</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ign w:val="center"/>
          </w:tcPr>
          <w:p>
            <w:pPr>
              <w:widowControl/>
              <w:jc w:val="left"/>
              <w:rPr>
                <w:kern w:val="0"/>
                <w:sz w:val="24"/>
              </w:rPr>
            </w:pPr>
            <w:r>
              <w:rPr>
                <w:kern w:val="0"/>
                <w:sz w:val="24"/>
              </w:rPr>
              <w:t>　</w:t>
            </w:r>
            <w:r>
              <w:rPr>
                <w:rFonts w:hint="eastAsia"/>
                <w:kern w:val="0"/>
                <w:sz w:val="24"/>
              </w:rPr>
              <w:t>10</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ign w:val="center"/>
          </w:tcPr>
          <w:p>
            <w:pPr>
              <w:widowControl/>
              <w:rPr>
                <w:rFonts w:ascii="宋体" w:hAnsi="宋体"/>
                <w:color w:val="000000"/>
                <w:kern w:val="0"/>
                <w:sz w:val="24"/>
              </w:rPr>
            </w:pPr>
            <w:r>
              <w:rPr>
                <w:rFonts w:hint="eastAsia" w:ascii="宋体" w:hAnsi="宋体"/>
                <w:color w:val="000000"/>
                <w:kern w:val="0"/>
                <w:sz w:val="24"/>
              </w:rPr>
              <w:t>100</w:t>
            </w:r>
          </w:p>
        </w:tc>
      </w:tr>
    </w:tbl>
    <w:p>
      <w:pPr>
        <w:widowControl/>
        <w:spacing w:line="560" w:lineRule="exact"/>
        <w:jc w:val="center"/>
        <w:rPr>
          <w:rFonts w:eastAsia="方正小标宋_GBK"/>
          <w:kern w:val="0"/>
          <w:sz w:val="40"/>
          <w:szCs w:val="40"/>
        </w:rPr>
      </w:pPr>
      <w:r>
        <w:rPr>
          <w:rFonts w:hint="eastAsia" w:eastAsia="方正小标宋_GBK"/>
          <w:kern w:val="0"/>
          <w:sz w:val="40"/>
          <w:szCs w:val="40"/>
        </w:rPr>
        <w:t>2023年度江永县</w:t>
      </w:r>
      <w:r>
        <w:rPr>
          <w:rFonts w:hint="eastAsia" w:eastAsia="方正小标宋_GBK"/>
          <w:kern w:val="0"/>
          <w:sz w:val="40"/>
          <w:szCs w:val="40"/>
          <w:lang w:eastAsia="zh-CN"/>
        </w:rPr>
        <w:t>千家峒瑶族乡学校</w:t>
      </w:r>
      <w:r>
        <w:rPr>
          <w:rFonts w:hint="eastAsia" w:eastAsia="方正小标宋_GBK"/>
          <w:kern w:val="0"/>
          <w:sz w:val="40"/>
          <w:szCs w:val="40"/>
        </w:rPr>
        <w:t>整体支出</w:t>
      </w:r>
    </w:p>
    <w:p>
      <w:pPr>
        <w:widowControl/>
        <w:spacing w:line="560" w:lineRule="exact"/>
        <w:jc w:val="center"/>
        <w:rPr>
          <w:rFonts w:eastAsia="方正小标宋_GBK"/>
          <w:kern w:val="0"/>
          <w:sz w:val="44"/>
          <w:szCs w:val="44"/>
        </w:rPr>
      </w:pPr>
      <w:r>
        <w:rPr>
          <w:rFonts w:hint="eastAsia" w:eastAsia="方正小标宋_GBK"/>
          <w:kern w:val="0"/>
          <w:sz w:val="40"/>
          <w:szCs w:val="40"/>
        </w:rPr>
        <w:t>绩效自评报告</w:t>
      </w:r>
    </w:p>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eastAsia="方正小标宋_GBK"/>
          <w:kern w:val="0"/>
          <w:sz w:val="28"/>
          <w:szCs w:val="28"/>
        </w:rPr>
      </w:pPr>
      <w:r>
        <w:rPr>
          <w:rFonts w:hint="eastAsia" w:eastAsia="方正小标宋_GBK"/>
          <w:kern w:val="0"/>
          <w:sz w:val="28"/>
          <w:szCs w:val="28"/>
        </w:rPr>
        <w:t>江永县</w:t>
      </w:r>
      <w:r>
        <w:rPr>
          <w:rFonts w:hint="eastAsia" w:eastAsia="方正小标宋_GBK"/>
          <w:kern w:val="0"/>
          <w:sz w:val="28"/>
          <w:szCs w:val="28"/>
          <w:lang w:eastAsia="zh-CN"/>
        </w:rPr>
        <w:t>千家峒瑶族乡学校</w:t>
      </w:r>
      <w:r>
        <w:rPr>
          <w:rFonts w:eastAsia="方正小标宋_GBK"/>
          <w:kern w:val="0"/>
          <w:sz w:val="28"/>
          <w:szCs w:val="28"/>
        </w:rPr>
        <w:t>部门整体支出绩效评价基础数据表</w:t>
      </w:r>
    </w:p>
    <w:p>
      <w:pPr>
        <w:keepNext w:val="0"/>
        <w:keepLines w:val="0"/>
        <w:pageBreakBefore w:val="0"/>
        <w:widowControl/>
        <w:kinsoku/>
        <w:wordWrap/>
        <w:overflowPunct/>
        <w:topLinePunct w:val="0"/>
        <w:autoSpaceDE/>
        <w:autoSpaceDN/>
        <w:bidi w:val="0"/>
        <w:adjustRightInd/>
        <w:snapToGrid/>
        <w:spacing w:line="240" w:lineRule="atLeast"/>
        <w:jc w:val="right"/>
        <w:textAlignment w:val="auto"/>
        <w:rPr>
          <w:rFonts w:eastAsia="方正小标宋_GBK"/>
          <w:kern w:val="0"/>
          <w:szCs w:val="21"/>
        </w:rPr>
      </w:pPr>
      <w:r>
        <w:rPr>
          <w:rFonts w:hint="eastAsia" w:eastAsia="方正小标宋_GBK"/>
          <w:kern w:val="0"/>
          <w:szCs w:val="21"/>
        </w:rPr>
        <w:t>（单位：万元）</w:t>
      </w:r>
    </w:p>
    <w:tbl>
      <w:tblPr>
        <w:tblStyle w:val="4"/>
        <w:tblpPr w:leftFromText="180" w:rightFromText="180" w:vertAnchor="text" w:horzAnchor="page" w:tblpX="1483" w:tblpY="238"/>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vMerge w:val="restart"/>
            <w:noWrap/>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noWrap/>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vMerge w:val="continue"/>
            <w:noWrap/>
            <w:vAlign w:val="center"/>
          </w:tcPr>
          <w:p>
            <w:pPr>
              <w:widowControl/>
              <w:jc w:val="left"/>
              <w:rPr>
                <w:rFonts w:eastAsia="仿宋_GB2312"/>
                <w:kern w:val="0"/>
                <w:szCs w:val="21"/>
              </w:rPr>
            </w:pPr>
          </w:p>
        </w:tc>
        <w:tc>
          <w:tcPr>
            <w:tcW w:w="2038"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45</w:t>
            </w:r>
          </w:p>
        </w:tc>
        <w:tc>
          <w:tcPr>
            <w:tcW w:w="2240" w:type="dxa"/>
            <w:gridSpan w:val="2"/>
            <w:noWrap/>
            <w:vAlign w:val="center"/>
          </w:tcPr>
          <w:p>
            <w:pPr>
              <w:widowControl/>
              <w:jc w:val="center"/>
              <w:rPr>
                <w:rFonts w:eastAsia="仿宋_GB2312"/>
                <w:kern w:val="0"/>
                <w:szCs w:val="21"/>
              </w:rPr>
            </w:pPr>
            <w:r>
              <w:rPr>
                <w:rFonts w:hint="eastAsia" w:eastAsia="仿宋_GB2312"/>
                <w:kern w:val="0"/>
                <w:szCs w:val="21"/>
                <w:lang w:val="en-US" w:eastAsia="zh-CN"/>
              </w:rPr>
              <w:t>42</w:t>
            </w:r>
            <w:r>
              <w:rPr>
                <w:rFonts w:eastAsia="仿宋_GB2312"/>
                <w:kern w:val="0"/>
                <w:szCs w:val="21"/>
              </w:rPr>
              <w:t>　</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lang w:val="en-US" w:eastAsia="zh-CN"/>
              </w:rPr>
              <w:t>93.33</w:t>
            </w:r>
            <w:r>
              <w:rPr>
                <w:rFonts w:hint="eastAsia" w:eastAsia="仿宋_GB2312"/>
                <w:kern w:val="0"/>
                <w:szCs w:val="21"/>
              </w:rPr>
              <w:t>%</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noWrap/>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noWrap/>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1.95</w:t>
            </w:r>
          </w:p>
        </w:tc>
        <w:tc>
          <w:tcPr>
            <w:tcW w:w="2240"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1.95</w:t>
            </w:r>
          </w:p>
        </w:tc>
        <w:tc>
          <w:tcPr>
            <w:tcW w:w="1832" w:type="dxa"/>
            <w:gridSpan w:val="2"/>
            <w:noWrap/>
            <w:vAlign w:val="center"/>
          </w:tcPr>
          <w:p>
            <w:pPr>
              <w:widowControl/>
              <w:jc w:val="center"/>
              <w:rPr>
                <w:rFonts w:hint="eastAsia" w:eastAsia="仿宋_GB2312"/>
                <w:kern w:val="0"/>
                <w:szCs w:val="21"/>
                <w:lang w:eastAsia="zh-CN"/>
              </w:rPr>
            </w:pPr>
            <w:r>
              <w:rPr>
                <w:rFonts w:hint="eastAsia" w:eastAsia="仿宋_GB2312"/>
                <w:kern w:val="0"/>
                <w:szCs w:val="21"/>
              </w:rPr>
              <w:t>1.</w:t>
            </w:r>
            <w:r>
              <w:rPr>
                <w:rFonts w:hint="eastAsia" w:eastAsia="仿宋_GB2312"/>
                <w:kern w:val="0"/>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ign w:val="center"/>
          </w:tcPr>
          <w:p>
            <w:pPr>
              <w:widowControl/>
              <w:jc w:val="center"/>
              <w:rPr>
                <w:rFonts w:eastAsia="仿宋_GB2312"/>
                <w:kern w:val="0"/>
                <w:szCs w:val="21"/>
              </w:rPr>
            </w:pPr>
            <w:r>
              <w:rPr>
                <w:rFonts w:hint="eastAsia" w:eastAsia="仿宋_GB2312"/>
                <w:kern w:val="0"/>
                <w:szCs w:val="21"/>
              </w:rPr>
              <w:t>0</w:t>
            </w:r>
          </w:p>
        </w:tc>
        <w:tc>
          <w:tcPr>
            <w:tcW w:w="2240" w:type="dxa"/>
            <w:gridSpan w:val="2"/>
            <w:noWrap/>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rPr>
              <w:t>0</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ign w:val="center"/>
          </w:tcPr>
          <w:p>
            <w:pPr>
              <w:widowControl/>
              <w:jc w:val="center"/>
              <w:rPr>
                <w:rFonts w:hint="default" w:eastAsia="仿宋_GB2312" w:asciiTheme="minorHAnsi" w:hAnsiTheme="minorHAnsi" w:cstheme="minorBidi"/>
                <w:kern w:val="0"/>
                <w:sz w:val="21"/>
                <w:szCs w:val="21"/>
                <w:lang w:val="en-US" w:eastAsia="zh-CN" w:bidi="ar-SA"/>
              </w:rPr>
            </w:pPr>
            <w:r>
              <w:rPr>
                <w:rFonts w:hint="eastAsia" w:eastAsia="仿宋_GB2312"/>
                <w:kern w:val="0"/>
                <w:szCs w:val="21"/>
                <w:lang w:val="en-US" w:eastAsia="zh-CN"/>
              </w:rPr>
              <w:t>1.95</w:t>
            </w:r>
          </w:p>
        </w:tc>
        <w:tc>
          <w:tcPr>
            <w:tcW w:w="2240" w:type="dxa"/>
            <w:gridSpan w:val="2"/>
            <w:noWrap/>
            <w:vAlign w:val="center"/>
          </w:tcPr>
          <w:p>
            <w:pPr>
              <w:widowControl/>
              <w:jc w:val="center"/>
              <w:rPr>
                <w:rFonts w:hint="default" w:eastAsia="仿宋_GB2312" w:asciiTheme="minorHAnsi" w:hAnsiTheme="minorHAnsi" w:cstheme="minorBidi"/>
                <w:kern w:val="0"/>
                <w:sz w:val="21"/>
                <w:szCs w:val="21"/>
                <w:lang w:val="en-US" w:eastAsia="zh-CN" w:bidi="ar-SA"/>
              </w:rPr>
            </w:pPr>
            <w:r>
              <w:rPr>
                <w:rFonts w:hint="eastAsia" w:eastAsia="仿宋_GB2312"/>
                <w:kern w:val="0"/>
                <w:szCs w:val="21"/>
                <w:lang w:val="en-US" w:eastAsia="zh-CN"/>
              </w:rPr>
              <w:t>1.95</w:t>
            </w:r>
          </w:p>
        </w:tc>
        <w:tc>
          <w:tcPr>
            <w:tcW w:w="1832" w:type="dxa"/>
            <w:gridSpan w:val="2"/>
            <w:noWrap/>
            <w:vAlign w:val="center"/>
          </w:tcPr>
          <w:p>
            <w:pPr>
              <w:widowControl/>
              <w:jc w:val="center"/>
              <w:rPr>
                <w:rFonts w:hint="eastAsia" w:eastAsia="仿宋_GB2312" w:asciiTheme="minorHAnsi" w:hAnsiTheme="minorHAnsi" w:cstheme="minorBidi"/>
                <w:kern w:val="0"/>
                <w:sz w:val="21"/>
                <w:szCs w:val="21"/>
                <w:lang w:val="en-US" w:eastAsia="zh-CN" w:bidi="ar-SA"/>
              </w:rPr>
            </w:pPr>
            <w:r>
              <w:rPr>
                <w:rFonts w:hint="eastAsia" w:eastAsia="仿宋_GB2312"/>
                <w:kern w:val="0"/>
                <w:szCs w:val="21"/>
              </w:rPr>
              <w:t>1.</w:t>
            </w:r>
            <w:r>
              <w:rPr>
                <w:rFonts w:hint="eastAsia" w:eastAsia="仿宋_GB2312"/>
                <w:kern w:val="0"/>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0.6063</w:t>
            </w:r>
          </w:p>
        </w:tc>
        <w:tc>
          <w:tcPr>
            <w:tcW w:w="2240" w:type="dxa"/>
            <w:gridSpan w:val="2"/>
            <w:noWrap/>
            <w:vAlign w:val="center"/>
          </w:tcPr>
          <w:p>
            <w:pPr>
              <w:widowControl/>
              <w:jc w:val="center"/>
              <w:rPr>
                <w:rFonts w:eastAsia="仿宋_GB2312"/>
                <w:kern w:val="0"/>
                <w:szCs w:val="21"/>
              </w:rPr>
            </w:pPr>
            <w:r>
              <w:rPr>
                <w:rFonts w:hint="eastAsia" w:eastAsia="仿宋_GB2312"/>
                <w:kern w:val="0"/>
                <w:szCs w:val="21"/>
                <w:lang w:val="en-US" w:eastAsia="zh-CN"/>
              </w:rPr>
              <w:t>0.6063</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lang w:val="en-US" w:eastAsia="zh-CN"/>
              </w:rPr>
              <w:t>0.6063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ign w:val="center"/>
          </w:tcPr>
          <w:p>
            <w:pPr>
              <w:widowControl/>
              <w:jc w:val="center"/>
              <w:rPr>
                <w:rFonts w:eastAsia="仿宋_GB2312"/>
                <w:kern w:val="0"/>
                <w:szCs w:val="21"/>
              </w:rPr>
            </w:pPr>
          </w:p>
        </w:tc>
        <w:tc>
          <w:tcPr>
            <w:tcW w:w="2240" w:type="dxa"/>
            <w:gridSpan w:val="2"/>
            <w:noWrap/>
            <w:vAlign w:val="center"/>
          </w:tcPr>
          <w:p>
            <w:pPr>
              <w:widowControl/>
              <w:jc w:val="center"/>
              <w:rPr>
                <w:rFonts w:eastAsia="仿宋_GB2312"/>
                <w:kern w:val="0"/>
                <w:szCs w:val="21"/>
              </w:rPr>
            </w:pPr>
          </w:p>
        </w:tc>
        <w:tc>
          <w:tcPr>
            <w:tcW w:w="1832"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ign w:val="center"/>
          </w:tcPr>
          <w:p>
            <w:pPr>
              <w:widowControl/>
              <w:jc w:val="center"/>
              <w:rPr>
                <w:rFonts w:eastAsia="仿宋_GB2312"/>
                <w:kern w:val="0"/>
                <w:szCs w:val="21"/>
              </w:rPr>
            </w:pPr>
            <w:r>
              <w:rPr>
                <w:rFonts w:eastAsia="仿宋_GB2312"/>
                <w:kern w:val="0"/>
                <w:szCs w:val="21"/>
              </w:rPr>
              <w:t>　</w:t>
            </w:r>
          </w:p>
        </w:tc>
        <w:tc>
          <w:tcPr>
            <w:tcW w:w="2240" w:type="dxa"/>
            <w:gridSpan w:val="2"/>
            <w:noWrap/>
            <w:vAlign w:val="center"/>
          </w:tcPr>
          <w:p>
            <w:pPr>
              <w:widowControl/>
              <w:jc w:val="center"/>
              <w:rPr>
                <w:rFonts w:eastAsia="仿宋_GB2312"/>
                <w:kern w:val="0"/>
                <w:szCs w:val="21"/>
              </w:rPr>
            </w:pPr>
            <w:r>
              <w:rPr>
                <w:rFonts w:eastAsia="仿宋_GB2312"/>
                <w:kern w:val="0"/>
                <w:szCs w:val="21"/>
              </w:rPr>
              <w:t>　</w:t>
            </w:r>
          </w:p>
        </w:tc>
        <w:tc>
          <w:tcPr>
            <w:tcW w:w="1832" w:type="dxa"/>
            <w:gridSpan w:val="2"/>
            <w:noWrap/>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354" w:type="dxa"/>
            <w:noWrap/>
            <w:vAlign w:val="center"/>
          </w:tcPr>
          <w:p>
            <w:pPr>
              <w:widowControl/>
              <w:ind w:firstLine="420" w:firstLineChars="200"/>
              <w:jc w:val="left"/>
              <w:rPr>
                <w:rFonts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ign w:val="center"/>
          </w:tcPr>
          <w:p>
            <w:pPr>
              <w:widowControl/>
              <w:jc w:val="center"/>
              <w:rPr>
                <w:rFonts w:eastAsia="仿宋_GB2312"/>
                <w:color w:val="FF0000"/>
                <w:kern w:val="0"/>
                <w:szCs w:val="21"/>
              </w:rPr>
            </w:pPr>
          </w:p>
        </w:tc>
        <w:tc>
          <w:tcPr>
            <w:tcW w:w="2240" w:type="dxa"/>
            <w:gridSpan w:val="2"/>
            <w:noWrap/>
            <w:vAlign w:val="center"/>
          </w:tcPr>
          <w:p>
            <w:pPr>
              <w:widowControl/>
              <w:jc w:val="center"/>
              <w:rPr>
                <w:rFonts w:eastAsia="仿宋_GB2312"/>
                <w:kern w:val="0"/>
                <w:szCs w:val="21"/>
              </w:rPr>
            </w:pPr>
          </w:p>
        </w:tc>
        <w:tc>
          <w:tcPr>
            <w:tcW w:w="1832" w:type="dxa"/>
            <w:gridSpan w:val="2"/>
            <w:noWrap/>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354" w:type="dxa"/>
            <w:noWrap/>
            <w:vAlign w:val="center"/>
          </w:tcPr>
          <w:p>
            <w:pPr>
              <w:widowControl/>
              <w:ind w:firstLine="630" w:firstLineChars="300"/>
              <w:jc w:val="left"/>
              <w:rPr>
                <w:rFonts w:hint="eastAsia" w:eastAsia="仿宋_GB2312"/>
                <w:kern w:val="0"/>
                <w:szCs w:val="21"/>
                <w:lang w:val="en-US" w:eastAsia="zh-CN"/>
              </w:rPr>
            </w:pPr>
            <w:r>
              <w:rPr>
                <w:rFonts w:hint="eastAsia" w:eastAsia="仿宋_GB2312"/>
                <w:kern w:val="0"/>
                <w:szCs w:val="21"/>
                <w:lang w:val="en-US" w:eastAsia="zh-CN"/>
              </w:rPr>
              <w:t>学生实验室制作</w:t>
            </w:r>
          </w:p>
        </w:tc>
        <w:tc>
          <w:tcPr>
            <w:tcW w:w="2038" w:type="dxa"/>
            <w:gridSpan w:val="2"/>
            <w:noWrap/>
            <w:vAlign w:val="center"/>
          </w:tcPr>
          <w:p>
            <w:pPr>
              <w:widowControl/>
              <w:jc w:val="center"/>
              <w:rPr>
                <w:rFonts w:hint="default" w:eastAsia="仿宋_GB2312"/>
                <w:color w:val="FF0000"/>
                <w:kern w:val="0"/>
                <w:szCs w:val="21"/>
                <w:lang w:val="en-US" w:eastAsia="zh-CN"/>
              </w:rPr>
            </w:pPr>
            <w:r>
              <w:rPr>
                <w:rFonts w:hint="eastAsia" w:eastAsia="仿宋_GB2312"/>
                <w:color w:val="auto"/>
                <w:kern w:val="0"/>
                <w:szCs w:val="21"/>
                <w:lang w:val="en-US" w:eastAsia="zh-CN"/>
              </w:rPr>
              <w:t>0.6063</w:t>
            </w:r>
          </w:p>
        </w:tc>
        <w:tc>
          <w:tcPr>
            <w:tcW w:w="2240" w:type="dxa"/>
            <w:gridSpan w:val="2"/>
            <w:noWrap/>
            <w:vAlign w:val="center"/>
          </w:tcPr>
          <w:p>
            <w:pPr>
              <w:widowControl/>
              <w:jc w:val="center"/>
              <w:rPr>
                <w:rFonts w:eastAsia="仿宋_GB2312" w:asciiTheme="minorHAnsi" w:hAnsiTheme="minorHAnsi" w:cstheme="minorBidi"/>
                <w:kern w:val="0"/>
                <w:sz w:val="21"/>
                <w:szCs w:val="21"/>
                <w:lang w:val="en-US" w:eastAsia="zh-CN" w:bidi="ar-SA"/>
              </w:rPr>
            </w:pPr>
            <w:r>
              <w:rPr>
                <w:rFonts w:hint="eastAsia" w:eastAsia="仿宋_GB2312"/>
                <w:kern w:val="0"/>
                <w:szCs w:val="21"/>
                <w:lang w:val="en-US" w:eastAsia="zh-CN"/>
              </w:rPr>
              <w:t>0.6063</w:t>
            </w:r>
          </w:p>
        </w:tc>
        <w:tc>
          <w:tcPr>
            <w:tcW w:w="1832" w:type="dxa"/>
            <w:gridSpan w:val="2"/>
            <w:noWrap/>
            <w:vAlign w:val="center"/>
          </w:tcPr>
          <w:p>
            <w:pPr>
              <w:widowControl/>
              <w:jc w:val="center"/>
              <w:rPr>
                <w:rFonts w:eastAsia="仿宋_GB2312" w:asciiTheme="minorHAnsi" w:hAnsiTheme="minorHAnsi" w:cstheme="minorBidi"/>
                <w:kern w:val="0"/>
                <w:sz w:val="21"/>
                <w:szCs w:val="21"/>
                <w:lang w:val="en-US" w:eastAsia="zh-CN" w:bidi="ar-SA"/>
              </w:rPr>
            </w:pPr>
            <w:r>
              <w:rPr>
                <w:rFonts w:hint="eastAsia" w:eastAsia="仿宋_GB2312"/>
                <w:kern w:val="0"/>
                <w:szCs w:val="21"/>
                <w:lang w:val="en-US" w:eastAsia="zh-CN"/>
              </w:rPr>
              <w:t>0.6063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ign w:val="center"/>
          </w:tcPr>
          <w:p>
            <w:pPr>
              <w:widowControl/>
              <w:jc w:val="center"/>
              <w:rPr>
                <w:rFonts w:eastAsia="仿宋_GB2312"/>
                <w:kern w:val="0"/>
                <w:szCs w:val="21"/>
              </w:rPr>
            </w:pPr>
          </w:p>
        </w:tc>
        <w:tc>
          <w:tcPr>
            <w:tcW w:w="2240"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rPr>
              <w:t>64.7</w:t>
            </w:r>
            <w:r>
              <w:rPr>
                <w:rFonts w:hint="eastAsia" w:eastAsia="仿宋_GB2312"/>
                <w:kern w:val="0"/>
                <w:szCs w:val="21"/>
                <w:lang w:val="en-US" w:eastAsia="zh-CN"/>
              </w:rPr>
              <w:t>59</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rPr>
              <w:t>64.7</w:t>
            </w:r>
            <w:r>
              <w:rPr>
                <w:rFonts w:hint="eastAsia" w:eastAsia="仿宋_GB2312"/>
                <w:kern w:val="0"/>
                <w:szCs w:val="21"/>
                <w:lang w:val="en-US" w:eastAsia="zh-CN"/>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ign w:val="center"/>
          </w:tcPr>
          <w:p>
            <w:pPr>
              <w:widowControl/>
              <w:jc w:val="center"/>
              <w:rPr>
                <w:rFonts w:eastAsia="仿宋_GB2312"/>
                <w:kern w:val="0"/>
                <w:szCs w:val="21"/>
              </w:rPr>
            </w:pPr>
          </w:p>
        </w:tc>
        <w:tc>
          <w:tcPr>
            <w:tcW w:w="2240"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35.2381</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lang w:val="en-US" w:eastAsia="zh-CN"/>
              </w:rPr>
              <w:t>35.2381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ign w:val="center"/>
          </w:tcPr>
          <w:p>
            <w:pPr>
              <w:widowControl/>
              <w:jc w:val="center"/>
              <w:rPr>
                <w:rFonts w:eastAsia="仿宋_GB2312"/>
                <w:kern w:val="0"/>
                <w:szCs w:val="21"/>
              </w:rPr>
            </w:pPr>
          </w:p>
        </w:tc>
        <w:tc>
          <w:tcPr>
            <w:tcW w:w="2240" w:type="dxa"/>
            <w:gridSpan w:val="2"/>
            <w:noWrap/>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1.1987</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lang w:val="en-US" w:eastAsia="zh-CN"/>
              </w:rPr>
              <w:t>1.1987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ign w:val="center"/>
          </w:tcPr>
          <w:p>
            <w:pPr>
              <w:widowControl/>
              <w:jc w:val="center"/>
              <w:rPr>
                <w:rFonts w:eastAsia="仿宋_GB2312"/>
                <w:kern w:val="0"/>
                <w:szCs w:val="21"/>
              </w:rPr>
            </w:pPr>
          </w:p>
        </w:tc>
        <w:tc>
          <w:tcPr>
            <w:tcW w:w="2240" w:type="dxa"/>
            <w:gridSpan w:val="2"/>
            <w:noWrap/>
            <w:vAlign w:val="center"/>
          </w:tcPr>
          <w:p>
            <w:pPr>
              <w:widowControl/>
              <w:jc w:val="center"/>
              <w:rPr>
                <w:rFonts w:eastAsia="仿宋_GB2312"/>
                <w:kern w:val="0"/>
                <w:szCs w:val="21"/>
              </w:rPr>
            </w:pPr>
            <w:r>
              <w:rPr>
                <w:rFonts w:hint="eastAsia" w:eastAsia="仿宋_GB2312"/>
                <w:kern w:val="0"/>
                <w:szCs w:val="21"/>
              </w:rPr>
              <w:t>3.1</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ign w:val="center"/>
          </w:tcPr>
          <w:p>
            <w:pPr>
              <w:widowControl/>
              <w:jc w:val="center"/>
              <w:rPr>
                <w:rFonts w:eastAsia="仿宋_GB2312"/>
                <w:kern w:val="0"/>
                <w:szCs w:val="21"/>
              </w:rPr>
            </w:pPr>
            <w:r>
              <w:rPr>
                <w:rFonts w:eastAsia="仿宋_GB2312"/>
                <w:kern w:val="0"/>
                <w:szCs w:val="21"/>
              </w:rPr>
              <w:t>——</w:t>
            </w:r>
          </w:p>
        </w:tc>
        <w:tc>
          <w:tcPr>
            <w:tcW w:w="2240" w:type="dxa"/>
            <w:gridSpan w:val="2"/>
            <w:noWrap/>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ign w:val="center"/>
          </w:tcPr>
          <w:p>
            <w:pPr>
              <w:widowControl/>
              <w:jc w:val="center"/>
              <w:rPr>
                <w:rFonts w:eastAsia="仿宋_GB2312"/>
                <w:kern w:val="0"/>
                <w:szCs w:val="21"/>
              </w:rPr>
            </w:pPr>
            <w:r>
              <w:rPr>
                <w:rFonts w:eastAsia="仿宋_GB2312"/>
                <w:kern w:val="0"/>
                <w:szCs w:val="21"/>
              </w:rPr>
              <w:t>——</w:t>
            </w:r>
          </w:p>
        </w:tc>
        <w:tc>
          <w:tcPr>
            <w:tcW w:w="2240"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354" w:type="dxa"/>
            <w:vMerge w:val="restart"/>
            <w:noWrap/>
            <w:vAlign w:val="center"/>
          </w:tcPr>
          <w:p>
            <w:pPr>
              <w:widowControl/>
              <w:jc w:val="center"/>
              <w:rPr>
                <w:rFonts w:eastAsia="仿宋_GB2312"/>
                <w:kern w:val="0"/>
                <w:szCs w:val="21"/>
              </w:rPr>
            </w:pPr>
            <w:r>
              <w:rPr>
                <w:rFonts w:eastAsia="仿宋_GB2312"/>
                <w:kern w:val="0"/>
                <w:szCs w:val="21"/>
              </w:rPr>
              <w:t>楼堂馆所控制情况</w:t>
            </w:r>
          </w:p>
          <w:p>
            <w:pPr>
              <w:widowControl/>
              <w:jc w:val="center"/>
              <w:rPr>
                <w:rFonts w:eastAsia="仿宋_GB2312"/>
                <w:kern w:val="0"/>
                <w:szCs w:val="21"/>
              </w:rPr>
            </w:pPr>
            <w:r>
              <w:rPr>
                <w:rFonts w:eastAsia="仿宋_GB2312"/>
                <w:kern w:val="0"/>
                <w:szCs w:val="21"/>
              </w:rPr>
              <w:t>（20</w:t>
            </w:r>
            <w:r>
              <w:rPr>
                <w:rFonts w:hint="eastAsia" w:eastAsia="仿宋_GB2312"/>
                <w:kern w:val="0"/>
                <w:szCs w:val="21"/>
              </w:rPr>
              <w:t>23</w:t>
            </w:r>
            <w:r>
              <w:rPr>
                <w:rFonts w:eastAsia="仿宋_GB2312"/>
                <w:kern w:val="0"/>
                <w:szCs w:val="21"/>
              </w:rPr>
              <w:t>年完工项目）</w:t>
            </w:r>
          </w:p>
        </w:tc>
        <w:tc>
          <w:tcPr>
            <w:tcW w:w="1189" w:type="dxa"/>
            <w:noWrap/>
            <w:vAlign w:val="center"/>
          </w:tcPr>
          <w:p>
            <w:pPr>
              <w:widowControl/>
              <w:spacing w:line="240" w:lineRule="exact"/>
              <w:jc w:val="center"/>
              <w:rPr>
                <w:rFonts w:eastAsia="仿宋_GB2312"/>
                <w:bCs/>
                <w:kern w:val="0"/>
                <w:szCs w:val="21"/>
              </w:rPr>
            </w:pPr>
            <w:r>
              <w:rPr>
                <w:rFonts w:eastAsia="仿宋_GB2312"/>
                <w:bCs/>
                <w:kern w:val="0"/>
                <w:szCs w:val="21"/>
              </w:rPr>
              <w:t>批复规模</w:t>
            </w:r>
          </w:p>
          <w:p>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3354" w:type="dxa"/>
            <w:vMerge w:val="continue"/>
            <w:noWrap/>
            <w:vAlign w:val="center"/>
          </w:tcPr>
          <w:p>
            <w:pPr>
              <w:widowControl/>
              <w:jc w:val="left"/>
              <w:rPr>
                <w:rFonts w:eastAsia="仿宋_GB2312"/>
                <w:kern w:val="0"/>
                <w:szCs w:val="21"/>
              </w:rPr>
            </w:pPr>
          </w:p>
        </w:tc>
        <w:tc>
          <w:tcPr>
            <w:tcW w:w="1189" w:type="dxa"/>
            <w:noWrap/>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849" w:type="dxa"/>
            <w:noWrap/>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1129" w:type="dxa"/>
            <w:noWrap/>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w:t>
            </w:r>
          </w:p>
        </w:tc>
        <w:tc>
          <w:tcPr>
            <w:tcW w:w="1111" w:type="dxa"/>
            <w:noWrap/>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969" w:type="dxa"/>
            <w:noWrap/>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863" w:type="dxa"/>
            <w:noWrap/>
            <w:vAlign w:val="center"/>
          </w:tcPr>
          <w:p>
            <w:pPr>
              <w:widowControl/>
              <w:jc w:val="center"/>
              <w:rPr>
                <w:rFonts w:eastAsia="仿宋_GB2312"/>
                <w:kern w:val="0"/>
                <w:szCs w:val="21"/>
              </w:rPr>
            </w:pPr>
            <w:r>
              <w:rPr>
                <w:rFonts w:hint="eastAsia" w:eastAsia="仿宋_GB2312"/>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354" w:type="dxa"/>
            <w:noWrap/>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ign w:val="center"/>
          </w:tcPr>
          <w:p>
            <w:pPr>
              <w:widowControl/>
              <w:jc w:val="center"/>
              <w:rPr>
                <w:rFonts w:eastAsia="仿宋_GB2312"/>
                <w:kern w:val="0"/>
                <w:szCs w:val="21"/>
              </w:rPr>
            </w:pPr>
            <w:r>
              <w:rPr>
                <w:rFonts w:hint="eastAsia" w:eastAsia="仿宋_GB2312"/>
                <w:kern w:val="0"/>
                <w:szCs w:val="21"/>
              </w:rPr>
              <w:t>完善规章制度，加强内部控制。</w:t>
            </w:r>
            <w:r>
              <w:rPr>
                <w:rFonts w:eastAsia="仿宋_GB2312"/>
                <w:kern w:val="0"/>
                <w:szCs w:val="21"/>
              </w:rPr>
              <w:t>　</w:t>
            </w:r>
          </w:p>
        </w:tc>
      </w:tr>
    </w:tbl>
    <w:p>
      <w:pPr>
        <w:widowControl/>
        <w:tabs>
          <w:tab w:val="left" w:pos="3611"/>
          <w:tab w:val="left" w:pos="4791"/>
          <w:tab w:val="left" w:pos="5951"/>
          <w:tab w:val="left" w:pos="7071"/>
          <w:tab w:val="left" w:pos="8191"/>
          <w:tab w:val="left" w:pos="9311"/>
        </w:tabs>
        <w:ind w:left="91"/>
        <w:jc w:val="center"/>
        <w:rPr>
          <w:rFonts w:eastAsia="仿宋_GB2312"/>
          <w:kern w:val="0"/>
          <w:sz w:val="24"/>
        </w:rPr>
      </w:pP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tbl>
      <w:tblPr>
        <w:tblStyle w:val="4"/>
        <w:tblW w:w="11357" w:type="dxa"/>
        <w:tblInd w:w="-5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3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1357" w:type="dxa"/>
            <w:tcBorders>
              <w:top w:val="nil"/>
              <w:left w:val="nil"/>
              <w:bottom w:val="nil"/>
              <w:right w:val="nil"/>
            </w:tcBorders>
            <w:shd w:val="clear" w:color="auto" w:fill="auto"/>
            <w:noWrap/>
            <w:vAlign w:val="center"/>
          </w:tcPr>
          <w:tbl>
            <w:tblPr>
              <w:tblStyle w:val="4"/>
              <w:tblW w:w="10262" w:type="dxa"/>
              <w:tblInd w:w="-27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7"/>
              <w:gridCol w:w="485"/>
              <w:gridCol w:w="1032"/>
              <w:gridCol w:w="1123"/>
              <w:gridCol w:w="1215"/>
              <w:gridCol w:w="961"/>
              <w:gridCol w:w="143"/>
              <w:gridCol w:w="639"/>
              <w:gridCol w:w="497"/>
              <w:gridCol w:w="758"/>
              <w:gridCol w:w="663"/>
              <w:gridCol w:w="20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trPr>
              <w:tc>
                <w:tcPr>
                  <w:tcW w:w="10262" w:type="dxa"/>
                  <w:gridSpan w:val="1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52"/>
                      <w:szCs w:val="52"/>
                      <w:u w:val="none"/>
                    </w:rPr>
                  </w:pPr>
                  <w:r>
                    <w:rPr>
                      <w:rFonts w:hint="eastAsia" w:ascii="宋体" w:hAnsi="宋体" w:eastAsia="宋体" w:cs="宋体"/>
                      <w:b/>
                      <w:bCs/>
                      <w:i w:val="0"/>
                      <w:iCs w:val="0"/>
                      <w:color w:val="000000"/>
                      <w:kern w:val="0"/>
                      <w:sz w:val="52"/>
                      <w:szCs w:val="52"/>
                      <w:u w:val="none"/>
                      <w:lang w:val="en-US" w:eastAsia="zh-CN" w:bidi="ar"/>
                    </w:rPr>
                    <w:t>部门整体支出绩效自评表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0262" w:type="dxa"/>
                  <w:gridSpan w:val="1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219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预算部门名称</w:t>
                  </w:r>
                </w:p>
              </w:tc>
              <w:tc>
                <w:tcPr>
                  <w:tcW w:w="806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江永县千家峒瑶族乡学校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1" w:hRule="atLeast"/>
              </w:trPr>
              <w:tc>
                <w:tcPr>
                  <w:tcW w:w="219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Microsoft YaHei UI" w:hAnsi="Microsoft YaHei UI" w:eastAsia="Microsoft YaHei UI" w:cs="Microsoft YaHei UI"/>
                      <w:i w:val="0"/>
                      <w:iCs w:val="0"/>
                      <w:color w:val="000000"/>
                      <w:kern w:val="0"/>
                      <w:sz w:val="20"/>
                      <w:szCs w:val="20"/>
                      <w:u w:val="none"/>
                      <w:lang w:val="en-US" w:eastAsia="zh-CN" w:bidi="ar"/>
                    </w:rPr>
                  </w:pPr>
                  <w:r>
                    <w:rPr>
                      <w:rFonts w:hint="eastAsia" w:ascii="Microsoft YaHei UI" w:hAnsi="Microsoft YaHei UI" w:eastAsia="Microsoft YaHei UI" w:cs="Microsoft YaHei UI"/>
                      <w:i w:val="0"/>
                      <w:iCs w:val="0"/>
                      <w:color w:val="000000"/>
                      <w:kern w:val="0"/>
                      <w:sz w:val="20"/>
                      <w:szCs w:val="20"/>
                      <w:u w:val="none"/>
                      <w:lang w:val="en-US" w:eastAsia="zh-CN" w:bidi="ar"/>
                    </w:rPr>
                    <w:t>年度预算申请</w:t>
                  </w:r>
                </w:p>
                <w:p>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20"/>
                      <w:szCs w:val="20"/>
                      <w:u w:val="none"/>
                    </w:rPr>
                  </w:pPr>
                  <w:r>
                    <w:rPr>
                      <w:rFonts w:hint="eastAsia" w:ascii="Microsoft YaHei UI" w:hAnsi="Microsoft YaHei UI" w:eastAsia="Microsoft YaHei UI" w:cs="Microsoft YaHei UI"/>
                      <w:i w:val="0"/>
                      <w:iCs w:val="0"/>
                      <w:color w:val="000000"/>
                      <w:kern w:val="0"/>
                      <w:sz w:val="20"/>
                      <w:szCs w:val="20"/>
                      <w:u w:val="none"/>
                      <w:lang w:val="en-US" w:eastAsia="zh-CN" w:bidi="ar"/>
                    </w:rPr>
                    <w:t>(万元)</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年初预算数(万元)</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全年预算数（万元）</w:t>
                  </w:r>
                </w:p>
              </w:tc>
              <w:tc>
                <w:tcPr>
                  <w:tcW w:w="12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全年执行数（万元）</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分值</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执行率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8"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年度资金总额：</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eastAsia" w:ascii="Times New Roman" w:hAnsi="Times New Roman" w:eastAsia="宋体" w:cs="Times New Roman"/>
                      <w:i w:val="0"/>
                      <w:iCs w:val="0"/>
                      <w:color w:val="000000"/>
                      <w:kern w:val="0"/>
                      <w:sz w:val="20"/>
                      <w:szCs w:val="20"/>
                      <w:u w:val="none"/>
                      <w:lang w:val="en-US" w:eastAsia="zh-CN" w:bidi="ar"/>
                    </w:rPr>
                    <w:t>484.97</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484.97</w:t>
                  </w:r>
                </w:p>
              </w:tc>
              <w:tc>
                <w:tcPr>
                  <w:tcW w:w="12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484.97</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45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按收入性质分：</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3"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一般公共预算：</w:t>
                  </w:r>
                </w:p>
              </w:tc>
              <w:tc>
                <w:tcPr>
                  <w:tcW w:w="34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484.97</w:t>
                  </w:r>
                </w:p>
              </w:tc>
              <w:tc>
                <w:tcPr>
                  <w:tcW w:w="7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其中:基本支出：</w:t>
                  </w:r>
                </w:p>
              </w:tc>
              <w:tc>
                <w:tcPr>
                  <w:tcW w:w="27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eastAsia" w:ascii="Times New Roman" w:hAnsi="Times New Roman" w:eastAsia="宋体" w:cs="Times New Roman"/>
                      <w:i w:val="0"/>
                      <w:iCs w:val="0"/>
                      <w:color w:val="000000"/>
                      <w:kern w:val="0"/>
                      <w:sz w:val="20"/>
                      <w:szCs w:val="20"/>
                      <w:u w:val="none"/>
                      <w:lang w:val="en-US" w:eastAsia="zh-CN" w:bidi="ar"/>
                    </w:rPr>
                    <w:t>484.36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政府性基金拨款：</w:t>
                  </w:r>
                </w:p>
              </w:tc>
              <w:tc>
                <w:tcPr>
                  <w:tcW w:w="34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7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7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纳入专户管理的非税收入拨款：</w:t>
                  </w:r>
                </w:p>
              </w:tc>
              <w:tc>
                <w:tcPr>
                  <w:tcW w:w="34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0.0</w:t>
                  </w:r>
                </w:p>
              </w:tc>
              <w:tc>
                <w:tcPr>
                  <w:tcW w:w="7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项目支出：</w:t>
                  </w:r>
                </w:p>
              </w:tc>
              <w:tc>
                <w:tcPr>
                  <w:tcW w:w="27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eastAsia" w:ascii="Times New Roman" w:hAnsi="Times New Roman" w:eastAsia="宋体" w:cs="Times New Roman"/>
                      <w:i w:val="0"/>
                      <w:iCs w:val="0"/>
                      <w:color w:val="000000"/>
                      <w:kern w:val="0"/>
                      <w:sz w:val="20"/>
                      <w:szCs w:val="20"/>
                      <w:u w:val="none"/>
                      <w:lang w:val="en-US" w:eastAsia="zh-CN" w:bidi="ar"/>
                    </w:rPr>
                    <w:t>0.61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其他资金</w:t>
                  </w:r>
                </w:p>
              </w:tc>
              <w:tc>
                <w:tcPr>
                  <w:tcW w:w="34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0.0</w:t>
                  </w:r>
                </w:p>
              </w:tc>
              <w:tc>
                <w:tcPr>
                  <w:tcW w:w="7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7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19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年度总体目标</w:t>
                  </w:r>
                </w:p>
              </w:tc>
              <w:tc>
                <w:tcPr>
                  <w:tcW w:w="45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预期目标</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45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按照国家政策法规规定和本单位实际情况，建立健全财务基础管理制度和约束机制，依法、有效地使用财政资金，提高财政资金使用效率，在完成单位职能目标中合理分配人、财、物，使之达到较高的工作效率和水平。　</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绩效指标</w:t>
                  </w:r>
                </w:p>
              </w:tc>
              <w:tc>
                <w:tcPr>
                  <w:tcW w:w="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一级指标</w:t>
                  </w: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11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三级指标</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年度指标值</w:t>
                  </w:r>
                </w:p>
              </w:tc>
              <w:tc>
                <w:tcPr>
                  <w:tcW w:w="11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实际完成值</w:t>
                  </w:r>
                </w:p>
              </w:tc>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分值</w:t>
                  </w: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得分</w:t>
                  </w:r>
                </w:p>
              </w:tc>
              <w:tc>
                <w:tcPr>
                  <w:tcW w:w="34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1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34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绩效指标</w:t>
                  </w:r>
                </w:p>
              </w:tc>
              <w:tc>
                <w:tcPr>
                  <w:tcW w:w="48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产出指标</w:t>
                  </w:r>
                </w:p>
              </w:tc>
              <w:tc>
                <w:tcPr>
                  <w:tcW w:w="103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数量指标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学生实验室广告制作</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1次</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1次</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77"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p>
              </w:tc>
              <w:tc>
                <w:tcPr>
                  <w:tcW w:w="48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p>
              </w:tc>
              <w:tc>
                <w:tcPr>
                  <w:tcW w:w="1032"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考核人数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45人</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45人</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77"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p>
              </w:tc>
              <w:tc>
                <w:tcPr>
                  <w:tcW w:w="48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p>
              </w:tc>
              <w:tc>
                <w:tcPr>
                  <w:tcW w:w="1032"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在校学生数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331人</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331人</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77"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p>
              </w:tc>
              <w:tc>
                <w:tcPr>
                  <w:tcW w:w="48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p>
              </w:tc>
              <w:tc>
                <w:tcPr>
                  <w:tcW w:w="103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教师培训次数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5次</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5次</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0"/>
                      <w:szCs w:val="20"/>
                      <w:u w:val="none"/>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7" w:type="dxa"/>
                  <w:vMerge w:val="continue"/>
                  <w:tcBorders>
                    <w:left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485" w:type="dxa"/>
                  <w:vMerge w:val="continue"/>
                  <w:tcBorders>
                    <w:left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质量指标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教师培训完成率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677" w:type="dxa"/>
                  <w:vMerge w:val="continue"/>
                  <w:tcBorders>
                    <w:left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485" w:type="dxa"/>
                  <w:vMerge w:val="continue"/>
                  <w:tcBorders>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时效指标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完成时间</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lang w:val="en-US"/>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677" w:type="dxa"/>
                  <w:vMerge w:val="continue"/>
                  <w:tcBorders>
                    <w:left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经济效益指标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学生入学数量增长率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677" w:type="dxa"/>
                  <w:vMerge w:val="continue"/>
                  <w:tcBorders>
                    <w:left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社会效益指标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学生安全事故发生次数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0</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677" w:type="dxa"/>
                  <w:vMerge w:val="continue"/>
                  <w:tcBorders>
                    <w:left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生态效益指标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校园环境改善</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改善</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改善</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677" w:type="dxa"/>
                  <w:vMerge w:val="continue"/>
                  <w:tcBorders>
                    <w:left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服务对象满意度指标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家长满意度</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7" w:type="dxa"/>
                  <w:vMerge w:val="continue"/>
                  <w:tcBorders>
                    <w:left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经济成本指标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基本支出</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484.97</w:t>
                  </w:r>
                  <w:r>
                    <w:rPr>
                      <w:rFonts w:hint="default" w:ascii="仿宋_GB2312" w:hAnsi="宋体" w:eastAsia="仿宋_GB2312" w:cs="仿宋_GB2312"/>
                      <w:i w:val="0"/>
                      <w:iCs w:val="0"/>
                      <w:color w:val="000000"/>
                      <w:kern w:val="0"/>
                      <w:sz w:val="20"/>
                      <w:szCs w:val="20"/>
                      <w:u w:val="none"/>
                      <w:lang w:val="en-US" w:eastAsia="zh-CN" w:bidi="ar"/>
                    </w:rPr>
                    <w:t>万元</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484.97</w:t>
                  </w:r>
                  <w:r>
                    <w:rPr>
                      <w:rFonts w:hint="default" w:ascii="仿宋_GB2312" w:hAnsi="宋体" w:eastAsia="仿宋_GB2312" w:cs="仿宋_GB2312"/>
                      <w:i w:val="0"/>
                      <w:iCs w:val="0"/>
                      <w:color w:val="000000"/>
                      <w:kern w:val="0"/>
                      <w:sz w:val="20"/>
                      <w:szCs w:val="20"/>
                      <w:u w:val="none"/>
                      <w:lang w:val="en-US" w:eastAsia="zh-CN" w:bidi="ar"/>
                    </w:rPr>
                    <w:t>万元</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77" w:type="dxa"/>
                  <w:vMerge w:val="continue"/>
                  <w:tcBorders>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项目支出</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0.6063</w:t>
                  </w:r>
                  <w:r>
                    <w:rPr>
                      <w:rFonts w:hint="default" w:ascii="仿宋_GB2312" w:hAnsi="宋体" w:eastAsia="仿宋_GB2312" w:cs="仿宋_GB2312"/>
                      <w:i w:val="0"/>
                      <w:iCs w:val="0"/>
                      <w:color w:val="000000"/>
                      <w:kern w:val="0"/>
                      <w:sz w:val="20"/>
                      <w:szCs w:val="20"/>
                      <w:u w:val="none"/>
                      <w:lang w:val="en-US" w:eastAsia="zh-CN" w:bidi="ar"/>
                    </w:rPr>
                    <w:t>万元</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0.6063</w:t>
                  </w:r>
                  <w:r>
                    <w:rPr>
                      <w:rFonts w:hint="default" w:ascii="仿宋_GB2312" w:hAnsi="宋体" w:eastAsia="仿宋_GB2312" w:cs="仿宋_GB2312"/>
                      <w:i w:val="0"/>
                      <w:iCs w:val="0"/>
                      <w:color w:val="000000"/>
                      <w:kern w:val="0"/>
                      <w:sz w:val="20"/>
                      <w:szCs w:val="20"/>
                      <w:u w:val="none"/>
                      <w:lang w:val="en-US" w:eastAsia="zh-CN" w:bidi="ar"/>
                    </w:rPr>
                    <w:t>万元</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63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bl>
          <w:p>
            <w:pPr>
              <w:keepNext w:val="0"/>
              <w:keepLines w:val="0"/>
              <w:widowControl/>
              <w:suppressLineNumbers w:val="0"/>
              <w:jc w:val="center"/>
              <w:textAlignment w:val="center"/>
              <w:rPr>
                <w:rFonts w:hint="eastAsia" w:ascii="宋体" w:hAnsi="宋体" w:eastAsia="宋体" w:cs="宋体"/>
                <w:b/>
                <w:bCs/>
                <w:i w:val="0"/>
                <w:iCs w:val="0"/>
                <w:color w:val="000000"/>
                <w:sz w:val="52"/>
                <w:szCs w:val="52"/>
                <w:u w:val="none"/>
              </w:rPr>
            </w:pPr>
          </w:p>
        </w:tc>
      </w:tr>
    </w:tbl>
    <w:p>
      <w:pPr>
        <w:spacing w:line="560" w:lineRule="exact"/>
        <w:jc w:val="center"/>
        <w:rPr>
          <w:rFonts w:eastAsia="方正小标宋_GBK"/>
          <w:color w:val="000000"/>
          <w:kern w:val="0"/>
          <w:sz w:val="36"/>
          <w:szCs w:val="36"/>
        </w:rPr>
      </w:pPr>
    </w:p>
    <w:p>
      <w:pPr>
        <w:widowControl/>
        <w:spacing w:line="560" w:lineRule="exact"/>
        <w:jc w:val="center"/>
        <w:rPr>
          <w:rFonts w:eastAsia="方正小标宋_GBK"/>
          <w:color w:val="000000"/>
          <w:kern w:val="0"/>
          <w:sz w:val="44"/>
          <w:szCs w:val="44"/>
        </w:rPr>
      </w:pPr>
    </w:p>
    <w:p>
      <w:pPr>
        <w:widowControl/>
        <w:spacing w:line="560" w:lineRule="exact"/>
        <w:jc w:val="center"/>
        <w:rPr>
          <w:rFonts w:eastAsia="方正小标宋_GBK"/>
          <w:color w:val="000000"/>
          <w:kern w:val="0"/>
          <w:sz w:val="44"/>
          <w:szCs w:val="44"/>
        </w:rPr>
      </w:pPr>
    </w:p>
    <w:p>
      <w:pPr>
        <w:widowControl/>
        <w:spacing w:line="560" w:lineRule="exact"/>
        <w:jc w:val="center"/>
        <w:rPr>
          <w:rFonts w:eastAsia="方正小标宋_GBK"/>
          <w:color w:val="000000"/>
          <w:kern w:val="0"/>
          <w:sz w:val="44"/>
          <w:szCs w:val="44"/>
        </w:rPr>
      </w:pPr>
    </w:p>
    <w:p>
      <w:pPr>
        <w:widowControl/>
        <w:spacing w:line="560" w:lineRule="exact"/>
        <w:jc w:val="center"/>
        <w:rPr>
          <w:rFonts w:eastAsia="方正小标宋_GBK"/>
          <w:color w:val="000000"/>
          <w:kern w:val="0"/>
          <w:sz w:val="44"/>
          <w:szCs w:val="44"/>
        </w:rPr>
      </w:pPr>
    </w:p>
    <w:p>
      <w:pPr>
        <w:widowControl/>
        <w:spacing w:line="560" w:lineRule="exact"/>
        <w:jc w:val="center"/>
        <w:rPr>
          <w:rFonts w:eastAsia="方正小标宋_GBK"/>
          <w:color w:val="000000"/>
          <w:kern w:val="0"/>
          <w:sz w:val="44"/>
          <w:szCs w:val="44"/>
        </w:rPr>
      </w:pPr>
    </w:p>
    <w:p>
      <w:pPr>
        <w:widowControl/>
        <w:spacing w:line="560" w:lineRule="exact"/>
        <w:jc w:val="center"/>
        <w:rPr>
          <w:rFonts w:eastAsia="方正小标宋_GBK"/>
          <w:color w:val="000000"/>
          <w:kern w:val="0"/>
          <w:sz w:val="44"/>
          <w:szCs w:val="44"/>
        </w:rPr>
      </w:pPr>
    </w:p>
    <w:p>
      <w:pPr>
        <w:widowControl/>
        <w:spacing w:line="560" w:lineRule="exact"/>
        <w:jc w:val="center"/>
        <w:rPr>
          <w:rFonts w:eastAsia="方正小标宋_GBK"/>
          <w:color w:val="000000"/>
          <w:kern w:val="0"/>
          <w:sz w:val="44"/>
          <w:szCs w:val="44"/>
        </w:rPr>
      </w:pPr>
    </w:p>
    <w:p>
      <w:pPr>
        <w:widowControl/>
        <w:spacing w:line="560" w:lineRule="exact"/>
        <w:jc w:val="center"/>
        <w:rPr>
          <w:rFonts w:eastAsia="方正小标宋_GBK"/>
          <w:color w:val="000000"/>
          <w:kern w:val="0"/>
          <w:sz w:val="44"/>
          <w:szCs w:val="44"/>
        </w:rPr>
      </w:pPr>
    </w:p>
    <w:p>
      <w:pPr>
        <w:widowControl/>
        <w:spacing w:line="560" w:lineRule="exact"/>
        <w:jc w:val="center"/>
        <w:rPr>
          <w:rFonts w:eastAsia="方正小标宋_GBK"/>
          <w:color w:val="000000"/>
          <w:kern w:val="0"/>
          <w:sz w:val="44"/>
          <w:szCs w:val="44"/>
        </w:rPr>
      </w:pPr>
    </w:p>
    <w:p>
      <w:pPr>
        <w:widowControl/>
        <w:spacing w:line="560" w:lineRule="exact"/>
        <w:jc w:val="center"/>
        <w:rPr>
          <w:rFonts w:eastAsia="方正小标宋_GBK"/>
          <w:color w:val="000000"/>
          <w:kern w:val="0"/>
          <w:sz w:val="44"/>
          <w:szCs w:val="44"/>
        </w:rPr>
      </w:pPr>
    </w:p>
    <w:p>
      <w:pPr>
        <w:widowControl/>
        <w:spacing w:line="560" w:lineRule="exact"/>
        <w:jc w:val="center"/>
        <w:rPr>
          <w:rFonts w:eastAsia="方正小标宋_GBK"/>
          <w:color w:val="000000"/>
          <w:kern w:val="0"/>
          <w:sz w:val="44"/>
          <w:szCs w:val="44"/>
        </w:rPr>
      </w:pPr>
    </w:p>
    <w:p>
      <w:pPr>
        <w:widowControl/>
        <w:spacing w:line="560" w:lineRule="exact"/>
        <w:jc w:val="center"/>
        <w:rPr>
          <w:rFonts w:eastAsia="方正小标宋_GBK"/>
          <w:color w:val="000000"/>
          <w:kern w:val="0"/>
          <w:sz w:val="44"/>
          <w:szCs w:val="44"/>
        </w:rPr>
      </w:pPr>
    </w:p>
    <w:tbl>
      <w:tblPr>
        <w:tblStyle w:val="4"/>
        <w:tblW w:w="14220" w:type="dxa"/>
        <w:tblInd w:w="-5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6"/>
        <w:gridCol w:w="687"/>
        <w:gridCol w:w="687"/>
        <w:gridCol w:w="1583"/>
        <w:gridCol w:w="870"/>
        <w:gridCol w:w="825"/>
        <w:gridCol w:w="615"/>
        <w:gridCol w:w="1110"/>
        <w:gridCol w:w="2010"/>
        <w:gridCol w:w="51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540" w:hRule="atLeast"/>
        </w:trPr>
        <w:tc>
          <w:tcPr>
            <w:tcW w:w="9073"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44"/>
                <w:szCs w:val="44"/>
                <w:u w:val="none"/>
              </w:rPr>
            </w:pPr>
            <w:r>
              <w:rPr>
                <w:rFonts w:hint="default" w:ascii="方正小标宋_GBK" w:hAnsi="方正小标宋_GBK" w:eastAsia="方正小标宋_GBK" w:cs="方正小标宋_GBK"/>
                <w:i w:val="0"/>
                <w:iCs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285" w:hRule="atLeast"/>
        </w:trPr>
        <w:tc>
          <w:tcPr>
            <w:tcW w:w="9073"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w:t>
            </w:r>
            <w:r>
              <w:rPr>
                <w:rStyle w:val="9"/>
                <w:rFonts w:eastAsia="仿宋_GB2312"/>
                <w:lang w:val="en-US" w:eastAsia="zh-CN" w:bidi="ar"/>
              </w:rPr>
              <w:t>2023</w:t>
            </w:r>
            <w:r>
              <w:rPr>
                <w:rFonts w:hint="default" w:ascii="仿宋_GB2312" w:hAnsi="宋体" w:eastAsia="仿宋_GB2312" w:cs="仿宋_GB2312"/>
                <w:i w:val="0"/>
                <w:iCs w:val="0"/>
                <w:color w:val="000000"/>
                <w:kern w:val="0"/>
                <w:sz w:val="21"/>
                <w:szCs w:val="21"/>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480"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项目支名称</w:t>
            </w:r>
          </w:p>
        </w:tc>
        <w:tc>
          <w:tcPr>
            <w:tcW w:w="8387" w:type="dxa"/>
            <w:gridSpan w:val="8"/>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学生实验室广告费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55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8387"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705"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主管部门</w:t>
            </w:r>
          </w:p>
        </w:tc>
        <w:tc>
          <w:tcPr>
            <w:tcW w:w="382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实施单位</w:t>
            </w:r>
          </w:p>
        </w:tc>
        <w:tc>
          <w:tcPr>
            <w:tcW w:w="37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　江永县</w:t>
            </w:r>
            <w:r>
              <w:rPr>
                <w:rFonts w:hint="eastAsia" w:ascii="仿宋_GB2312" w:hAnsi="宋体" w:eastAsia="仿宋_GB2312" w:cs="仿宋_GB2312"/>
                <w:i w:val="0"/>
                <w:iCs w:val="0"/>
                <w:color w:val="000000"/>
                <w:kern w:val="0"/>
                <w:sz w:val="21"/>
                <w:szCs w:val="21"/>
                <w:u w:val="none"/>
                <w:lang w:val="en-US" w:eastAsia="zh-CN" w:bidi="ar"/>
              </w:rPr>
              <w:t>千家峒瑶族乡学校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420"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项目资金（万元）</w:t>
            </w:r>
          </w:p>
        </w:tc>
        <w:tc>
          <w:tcPr>
            <w:tcW w:w="13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年初</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执行率</w:t>
            </w:r>
          </w:p>
        </w:tc>
        <w:tc>
          <w:tcPr>
            <w:tcW w:w="201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27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3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预算数</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预算数</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执行数</w:t>
            </w: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201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3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年度资金总额　</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0.61</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0.61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0.61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3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其中：当年财政拨款　</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1"/>
                <w:szCs w:val="21"/>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3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上年结转资金　</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3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其他资金</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450"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年度总体目标</w:t>
            </w:r>
          </w:p>
        </w:tc>
        <w:tc>
          <w:tcPr>
            <w:tcW w:w="382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预期目标</w:t>
            </w:r>
          </w:p>
        </w:tc>
        <w:tc>
          <w:tcPr>
            <w:tcW w:w="45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67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382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学生实验室广告制作</w:t>
            </w:r>
          </w:p>
        </w:tc>
        <w:tc>
          <w:tcPr>
            <w:tcW w:w="45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　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405"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绩效指标</w:t>
            </w: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一级指标</w:t>
            </w: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二级指标</w:t>
            </w:r>
          </w:p>
        </w:tc>
        <w:tc>
          <w:tcPr>
            <w:tcW w:w="15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c>
          <w:tcPr>
            <w:tcW w:w="2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39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指标值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完成值</w:t>
            </w: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2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615"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绩效指标</w:t>
            </w: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产出指标</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数量指标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学生实验室广告制作</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Style w:val="9"/>
                <w:rFonts w:eastAsia="宋体"/>
                <w:lang w:val="en-US" w:eastAsia="zh-CN" w:bidi="ar"/>
              </w:rPr>
              <w:t>1</w:t>
            </w:r>
            <w:r>
              <w:rPr>
                <w:rStyle w:val="10"/>
                <w:lang w:val="en-US" w:eastAsia="zh-CN" w:bidi="ar"/>
              </w:rPr>
              <w:t>次</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Style w:val="9"/>
                <w:rFonts w:eastAsia="宋体"/>
                <w:lang w:val="en-US" w:eastAsia="zh-CN" w:bidi="ar"/>
              </w:rPr>
              <w:t>1</w:t>
            </w:r>
            <w:r>
              <w:rPr>
                <w:rStyle w:val="10"/>
                <w:lang w:val="en-US" w:eastAsia="zh-CN" w:bidi="ar"/>
              </w:rPr>
              <w:t>次</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质量指标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完成率</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时效指标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资金拨付及时率</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效益指标</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经济效益指标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提高教师队伍生活质量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提高教师队伍生活质量</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提高教师队伍生活质量</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lang w:val="en-US"/>
              </w:rPr>
            </w:pPr>
            <w:r>
              <w:rPr>
                <w:rFonts w:hint="eastAsia"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lang w:val="en-US"/>
              </w:rPr>
            </w:pPr>
            <w:r>
              <w:rPr>
                <w:rFonts w:hint="eastAsia"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社会效益指标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促进教</w:t>
            </w:r>
            <w:r>
              <w:rPr>
                <w:rFonts w:hint="eastAsia" w:ascii="仿宋_GB2312" w:hAnsi="宋体" w:eastAsia="仿宋_GB2312" w:cs="仿宋_GB2312"/>
                <w:i w:val="0"/>
                <w:iCs w:val="0"/>
                <w:color w:val="000000"/>
                <w:kern w:val="0"/>
                <w:sz w:val="21"/>
                <w:szCs w:val="21"/>
                <w:u w:val="none"/>
                <w:lang w:val="en-US" w:eastAsia="zh-CN" w:bidi="ar"/>
              </w:rPr>
              <w:t>全面发展</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促进教</w:t>
            </w:r>
            <w:r>
              <w:rPr>
                <w:rFonts w:hint="eastAsia" w:ascii="仿宋_GB2312" w:hAnsi="宋体" w:eastAsia="仿宋_GB2312" w:cs="仿宋_GB2312"/>
                <w:i w:val="0"/>
                <w:iCs w:val="0"/>
                <w:color w:val="000000"/>
                <w:kern w:val="0"/>
                <w:sz w:val="21"/>
                <w:szCs w:val="21"/>
                <w:u w:val="none"/>
                <w:lang w:val="en-US" w:eastAsia="zh-CN" w:bidi="ar"/>
              </w:rPr>
              <w:t>全面发展</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促进教</w:t>
            </w:r>
            <w:r>
              <w:rPr>
                <w:rFonts w:hint="eastAsia" w:ascii="仿宋_GB2312" w:hAnsi="宋体" w:eastAsia="仿宋_GB2312" w:cs="仿宋_GB2312"/>
                <w:i w:val="0"/>
                <w:iCs w:val="0"/>
                <w:color w:val="000000"/>
                <w:kern w:val="0"/>
                <w:sz w:val="21"/>
                <w:szCs w:val="21"/>
                <w:u w:val="none"/>
                <w:lang w:val="en-US" w:eastAsia="zh-CN" w:bidi="ar"/>
              </w:rPr>
              <w:t>全面发展</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lang w:val="en-US"/>
              </w:rPr>
            </w:pPr>
            <w:r>
              <w:rPr>
                <w:rFonts w:hint="eastAsia"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lang w:val="en-US"/>
              </w:rPr>
            </w:pPr>
            <w:r>
              <w:rPr>
                <w:rFonts w:hint="eastAsia"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生态效益指标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学校环境改善</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有效改善</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有效改善</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5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满意度指标</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服务对象满意度指标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家长满意度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成本指标</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经济成本指标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预算执行率</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0.6063</w:t>
            </w:r>
            <w:r>
              <w:rPr>
                <w:rFonts w:hint="default" w:ascii="仿宋_GB2312" w:hAnsi="宋体" w:eastAsia="仿宋_GB2312" w:cs="仿宋_GB2312"/>
                <w:i w:val="0"/>
                <w:iCs w:val="0"/>
                <w:color w:val="000000"/>
                <w:kern w:val="0"/>
                <w:sz w:val="21"/>
                <w:szCs w:val="21"/>
                <w:u w:val="none"/>
                <w:lang w:val="en-US" w:eastAsia="zh-CN" w:bidi="ar"/>
              </w:rPr>
              <w:t>万元</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0.6063</w:t>
            </w:r>
            <w:r>
              <w:rPr>
                <w:rFonts w:hint="default" w:ascii="仿宋_GB2312" w:hAnsi="宋体" w:eastAsia="仿宋_GB2312" w:cs="仿宋_GB2312"/>
                <w:i w:val="0"/>
                <w:iCs w:val="0"/>
                <w:color w:val="000000"/>
                <w:kern w:val="0"/>
                <w:sz w:val="21"/>
                <w:szCs w:val="21"/>
                <w:u w:val="none"/>
                <w:lang w:val="en-US" w:eastAsia="zh-CN" w:bidi="ar"/>
              </w:rPr>
              <w:t>万元</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社会成本指标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资金使用合规性</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合规</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合规</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53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总分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71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r>
    </w:tbl>
    <w:p>
      <w:pPr>
        <w:rPr>
          <w:rFonts w:hint="eastAsia"/>
          <w:lang w:val="en-US" w:eastAsia="zh-CN"/>
        </w:rPr>
      </w:pPr>
      <w:r>
        <w:rPr>
          <w:rFonts w:hint="eastAsia"/>
          <w:lang w:val="en-US" w:eastAsia="zh-CN"/>
        </w:rPr>
        <w:t xml:space="preserve">             </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lang w:val="en-US" w:eastAsia="zh-CN"/>
        </w:rPr>
        <w:t>学生实验室广告制作</w:t>
      </w:r>
      <w:r>
        <w:rPr>
          <w:rFonts w:hint="eastAsia" w:asciiTheme="majorEastAsia" w:hAnsiTheme="majorEastAsia" w:eastAsiaTheme="majorEastAsia"/>
          <w:b/>
          <w:sz w:val="44"/>
          <w:szCs w:val="44"/>
        </w:rPr>
        <w:t>专项经费2023年绩效</w:t>
      </w:r>
    </w:p>
    <w:p>
      <w:pPr>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自评报告</w:t>
      </w:r>
    </w:p>
    <w:p>
      <w:pPr>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为</w:t>
      </w:r>
      <w:r>
        <w:rPr>
          <w:rFonts w:hint="eastAsia" w:asciiTheme="majorEastAsia" w:hAnsiTheme="majorEastAsia" w:eastAsiaTheme="majorEastAsia"/>
          <w:color w:val="000000"/>
          <w:spacing w:val="-2"/>
          <w:sz w:val="28"/>
          <w:szCs w:val="28"/>
        </w:rPr>
        <w:t>进一步规范和加强项目资金管理，切实提高财政资金使用效益，</w:t>
      </w:r>
      <w:r>
        <w:rPr>
          <w:rFonts w:hint="eastAsia" w:asciiTheme="majorEastAsia" w:hAnsiTheme="majorEastAsia" w:eastAsiaTheme="majorEastAsia"/>
          <w:sz w:val="28"/>
          <w:szCs w:val="28"/>
        </w:rPr>
        <w:t>我校对</w:t>
      </w:r>
      <w:r>
        <w:rPr>
          <w:rFonts w:hint="eastAsia" w:asciiTheme="majorEastAsia" w:hAnsiTheme="majorEastAsia" w:eastAsiaTheme="majorEastAsia"/>
          <w:sz w:val="28"/>
          <w:szCs w:val="28"/>
          <w:lang w:val="en-US" w:eastAsia="zh-CN"/>
        </w:rPr>
        <w:t>学生实验室广告制作</w:t>
      </w:r>
      <w:r>
        <w:rPr>
          <w:rFonts w:hint="eastAsia" w:asciiTheme="majorEastAsia" w:hAnsiTheme="majorEastAsia" w:eastAsiaTheme="majorEastAsia"/>
          <w:sz w:val="28"/>
          <w:szCs w:val="28"/>
        </w:rPr>
        <w:t>专项经费进行了认真、仔细的绩效自评。</w:t>
      </w:r>
    </w:p>
    <w:p>
      <w:pPr>
        <w:ind w:firstLine="562" w:firstLineChars="200"/>
        <w:rPr>
          <w:rFonts w:ascii="宋体" w:hAnsi="宋体"/>
          <w:b/>
          <w:bCs/>
          <w:sz w:val="28"/>
          <w:szCs w:val="28"/>
        </w:rPr>
      </w:pPr>
      <w:r>
        <w:rPr>
          <w:rFonts w:hint="eastAsia" w:ascii="宋体" w:hAnsi="宋体"/>
          <w:b/>
          <w:bCs/>
          <w:sz w:val="28"/>
          <w:szCs w:val="28"/>
        </w:rPr>
        <w:t>一、绩效目标分解下达情况</w:t>
      </w:r>
    </w:p>
    <w:p>
      <w:pPr>
        <w:ind w:firstLine="560" w:firstLineChars="200"/>
        <w:rPr>
          <w:rFonts w:ascii="宋体" w:hAnsi="宋体"/>
          <w:sz w:val="28"/>
          <w:szCs w:val="28"/>
        </w:rPr>
      </w:pPr>
      <w:r>
        <w:rPr>
          <w:rFonts w:hint="eastAsia" w:ascii="宋体" w:hAnsi="宋体"/>
          <w:sz w:val="28"/>
          <w:szCs w:val="28"/>
        </w:rPr>
        <w:t>2023年度下达江永县</w:t>
      </w:r>
      <w:r>
        <w:rPr>
          <w:rFonts w:hint="eastAsia" w:ascii="宋体" w:hAnsi="宋体"/>
          <w:sz w:val="28"/>
          <w:szCs w:val="28"/>
          <w:lang w:eastAsia="zh-CN"/>
        </w:rPr>
        <w:t>千家峒瑶族乡学校</w:t>
      </w:r>
      <w:r>
        <w:rPr>
          <w:rFonts w:hint="eastAsia" w:ascii="宋体" w:hAnsi="宋体"/>
          <w:sz w:val="28"/>
          <w:szCs w:val="28"/>
        </w:rPr>
        <w:t xml:space="preserve">资金 </w:t>
      </w:r>
      <w:r>
        <w:rPr>
          <w:rFonts w:hint="eastAsia" w:ascii="宋体" w:hAnsi="宋体"/>
          <w:sz w:val="28"/>
          <w:szCs w:val="28"/>
          <w:lang w:val="en-US" w:eastAsia="zh-CN"/>
        </w:rPr>
        <w:t>0.</w:t>
      </w:r>
      <w:r>
        <w:rPr>
          <w:rFonts w:hint="eastAsia" w:ascii="宋体" w:hAnsi="宋体"/>
          <w:sz w:val="28"/>
          <w:szCs w:val="28"/>
        </w:rPr>
        <w:t>6</w:t>
      </w:r>
      <w:r>
        <w:rPr>
          <w:rFonts w:hint="eastAsia" w:ascii="宋体" w:hAnsi="宋体"/>
          <w:sz w:val="28"/>
          <w:szCs w:val="28"/>
          <w:lang w:val="en-US" w:eastAsia="zh-CN"/>
        </w:rPr>
        <w:t>063</w:t>
      </w:r>
      <w:r>
        <w:rPr>
          <w:rFonts w:hint="eastAsia" w:ascii="宋体" w:hAnsi="宋体"/>
          <w:sz w:val="28"/>
          <w:szCs w:val="28"/>
        </w:rPr>
        <w:t>万元，截至 2023年12月 31 日，共支出</w:t>
      </w:r>
      <w:r>
        <w:rPr>
          <w:rFonts w:hint="eastAsia" w:ascii="宋体" w:hAnsi="宋体"/>
          <w:sz w:val="28"/>
          <w:szCs w:val="28"/>
          <w:lang w:val="en-US" w:eastAsia="zh-CN"/>
        </w:rPr>
        <w:t>0.</w:t>
      </w:r>
      <w:r>
        <w:rPr>
          <w:rFonts w:hint="eastAsia" w:ascii="宋体" w:hAnsi="宋体"/>
          <w:sz w:val="28"/>
          <w:szCs w:val="28"/>
        </w:rPr>
        <w:t>6</w:t>
      </w:r>
      <w:r>
        <w:rPr>
          <w:rFonts w:hint="eastAsia" w:ascii="宋体" w:hAnsi="宋体"/>
          <w:sz w:val="28"/>
          <w:szCs w:val="28"/>
          <w:lang w:val="en-US" w:eastAsia="zh-CN"/>
        </w:rPr>
        <w:t>063</w:t>
      </w:r>
      <w:r>
        <w:rPr>
          <w:rFonts w:hint="eastAsia" w:ascii="宋体" w:hAnsi="宋体"/>
          <w:sz w:val="28"/>
          <w:szCs w:val="28"/>
        </w:rPr>
        <w:t>万元，完成率为100%。</w:t>
      </w:r>
    </w:p>
    <w:p/>
    <w:p>
      <w:pPr>
        <w:ind w:firstLine="562" w:firstLineChars="200"/>
        <w:rPr>
          <w:rFonts w:ascii="宋体" w:hAnsi="宋体"/>
          <w:b/>
          <w:bCs/>
          <w:sz w:val="28"/>
          <w:szCs w:val="28"/>
        </w:rPr>
      </w:pPr>
      <w:r>
        <w:rPr>
          <w:rFonts w:hint="eastAsia" w:ascii="宋体" w:hAnsi="宋体"/>
          <w:b/>
          <w:bCs/>
          <w:sz w:val="28"/>
          <w:szCs w:val="28"/>
        </w:rPr>
        <w:t>二、绩效目标完成情况分析</w:t>
      </w:r>
    </w:p>
    <w:p>
      <w:pPr>
        <w:ind w:firstLine="560" w:firstLineChars="200"/>
        <w:rPr>
          <w:rFonts w:hint="eastAsia" w:ascii="宋体" w:hAnsi="宋体"/>
          <w:sz w:val="28"/>
          <w:szCs w:val="28"/>
        </w:rPr>
      </w:pPr>
      <w:r>
        <w:rPr>
          <w:rFonts w:hint="eastAsia" w:ascii="宋体" w:hAnsi="宋体"/>
          <w:sz w:val="28"/>
          <w:szCs w:val="28"/>
        </w:rPr>
        <w:t>（一）资金投入情况分析：</w:t>
      </w:r>
    </w:p>
    <w:p>
      <w:pPr>
        <w:ind w:firstLine="560" w:firstLineChars="200"/>
        <w:rPr>
          <w:rFonts w:hint="eastAsia" w:ascii="宋体" w:hAnsi="宋体"/>
          <w:sz w:val="28"/>
          <w:szCs w:val="28"/>
        </w:rPr>
      </w:pPr>
      <w:r>
        <w:rPr>
          <w:rFonts w:hint="eastAsia" w:ascii="宋体" w:hAnsi="宋体"/>
          <w:sz w:val="28"/>
          <w:szCs w:val="28"/>
        </w:rPr>
        <w:t>2023年度江永县</w:t>
      </w:r>
      <w:r>
        <w:rPr>
          <w:rFonts w:hint="eastAsia" w:ascii="宋体" w:hAnsi="宋体"/>
          <w:sz w:val="28"/>
          <w:szCs w:val="28"/>
          <w:lang w:eastAsia="zh-CN"/>
        </w:rPr>
        <w:t>千家峒瑶族乡学校</w:t>
      </w:r>
      <w:r>
        <w:rPr>
          <w:rFonts w:hint="eastAsia" w:ascii="宋体" w:hAnsi="宋体"/>
          <w:sz w:val="28"/>
          <w:szCs w:val="28"/>
        </w:rPr>
        <w:t>资金实收</w:t>
      </w:r>
      <w:r>
        <w:rPr>
          <w:rFonts w:hint="eastAsia" w:asciiTheme="majorEastAsia" w:hAnsiTheme="majorEastAsia" w:eastAsiaTheme="majorEastAsia"/>
          <w:sz w:val="28"/>
          <w:szCs w:val="28"/>
          <w:lang w:val="en-US" w:eastAsia="zh-CN"/>
        </w:rPr>
        <w:t>学生实验室广告制作</w:t>
      </w:r>
      <w:r>
        <w:rPr>
          <w:rFonts w:hint="eastAsia" w:ascii="宋体" w:hAnsi="宋体"/>
          <w:sz w:val="28"/>
          <w:szCs w:val="28"/>
        </w:rPr>
        <w:t xml:space="preserve">资金 </w:t>
      </w:r>
      <w:r>
        <w:rPr>
          <w:rFonts w:hint="eastAsia" w:ascii="宋体" w:hAnsi="宋体"/>
          <w:sz w:val="28"/>
          <w:szCs w:val="28"/>
          <w:lang w:val="en-US" w:eastAsia="zh-CN"/>
        </w:rPr>
        <w:t>0.6063</w:t>
      </w:r>
      <w:r>
        <w:rPr>
          <w:rFonts w:hint="eastAsia" w:ascii="宋体" w:hAnsi="宋体"/>
          <w:sz w:val="28"/>
          <w:szCs w:val="28"/>
        </w:rPr>
        <w:t>万元，到位率 100%。</w:t>
      </w:r>
    </w:p>
    <w:p>
      <w:pPr>
        <w:ind w:firstLine="560" w:firstLineChars="200"/>
        <w:rPr>
          <w:rFonts w:ascii="宋体" w:hAnsi="宋体"/>
          <w:sz w:val="28"/>
          <w:szCs w:val="28"/>
        </w:rPr>
      </w:pPr>
      <w:r>
        <w:rPr>
          <w:rFonts w:hint="eastAsia" w:ascii="宋体" w:hAnsi="宋体"/>
          <w:sz w:val="28"/>
          <w:szCs w:val="28"/>
        </w:rPr>
        <w:t>（二）项目资金执行情况分析</w:t>
      </w:r>
    </w:p>
    <w:p>
      <w:pPr>
        <w:ind w:firstLine="560" w:firstLineChars="200"/>
        <w:rPr>
          <w:rFonts w:hint="eastAsia" w:ascii="宋体" w:hAnsi="宋体"/>
          <w:sz w:val="28"/>
          <w:szCs w:val="28"/>
        </w:rPr>
      </w:pPr>
      <w:r>
        <w:rPr>
          <w:rFonts w:hint="eastAsia" w:ascii="宋体" w:hAnsi="宋体"/>
          <w:sz w:val="28"/>
          <w:szCs w:val="28"/>
        </w:rPr>
        <w:t>2023年度江永县财政局支付资金项目用途进行保障支付，</w:t>
      </w:r>
      <w:r>
        <w:rPr>
          <w:rFonts w:hint="eastAsia" w:asciiTheme="majorEastAsia" w:hAnsiTheme="majorEastAsia" w:eastAsiaTheme="majorEastAsia"/>
          <w:sz w:val="28"/>
          <w:szCs w:val="28"/>
          <w:lang w:val="en-US" w:eastAsia="zh-CN"/>
        </w:rPr>
        <w:t>学生实验室广告制作</w:t>
      </w:r>
      <w:r>
        <w:rPr>
          <w:rFonts w:hint="eastAsia" w:ascii="宋体" w:hAnsi="宋体"/>
          <w:sz w:val="28"/>
          <w:szCs w:val="28"/>
        </w:rPr>
        <w:t>资金主要用于</w:t>
      </w:r>
      <w:r>
        <w:rPr>
          <w:rFonts w:hint="eastAsia" w:asciiTheme="majorEastAsia" w:hAnsiTheme="majorEastAsia" w:eastAsiaTheme="majorEastAsia"/>
          <w:sz w:val="28"/>
          <w:szCs w:val="28"/>
          <w:lang w:val="en-US" w:eastAsia="zh-CN"/>
        </w:rPr>
        <w:t>学生实验室广告制作</w:t>
      </w:r>
      <w:r>
        <w:rPr>
          <w:rFonts w:hint="eastAsia" w:ascii="宋体" w:hAnsi="宋体"/>
          <w:sz w:val="28"/>
          <w:szCs w:val="28"/>
        </w:rPr>
        <w:t>开支等。截止 2023年12月 31 日，共支出</w:t>
      </w:r>
      <w:r>
        <w:rPr>
          <w:rFonts w:hint="eastAsia" w:ascii="宋体" w:hAnsi="宋体"/>
          <w:sz w:val="28"/>
          <w:szCs w:val="28"/>
          <w:lang w:val="en-US" w:eastAsia="zh-CN"/>
        </w:rPr>
        <w:t>0.6063</w:t>
      </w:r>
      <w:r>
        <w:rPr>
          <w:rFonts w:hint="eastAsia" w:ascii="宋体" w:hAnsi="宋体"/>
          <w:sz w:val="28"/>
          <w:szCs w:val="28"/>
        </w:rPr>
        <w:t>万元。</w:t>
      </w:r>
    </w:p>
    <w:p>
      <w:pPr>
        <w:ind w:firstLine="560" w:firstLineChars="200"/>
        <w:rPr>
          <w:rFonts w:ascii="宋体" w:hAnsi="宋体"/>
          <w:sz w:val="28"/>
          <w:szCs w:val="28"/>
        </w:rPr>
      </w:pPr>
      <w:r>
        <w:rPr>
          <w:rFonts w:hint="eastAsia" w:ascii="宋体" w:hAnsi="宋体"/>
          <w:sz w:val="28"/>
          <w:szCs w:val="28"/>
        </w:rPr>
        <w:t>（三）项目资金管理情况分析</w:t>
      </w:r>
    </w:p>
    <w:p>
      <w:pPr>
        <w:ind w:firstLine="560" w:firstLineChars="200"/>
        <w:rPr>
          <w:rFonts w:hint="eastAsia" w:ascii="宋体" w:hAnsi="宋体"/>
          <w:sz w:val="28"/>
          <w:szCs w:val="28"/>
        </w:rPr>
      </w:pPr>
      <w:r>
        <w:rPr>
          <w:rFonts w:hint="eastAsia" w:ascii="宋体" w:hAnsi="宋体"/>
          <w:sz w:val="28"/>
          <w:szCs w:val="28"/>
        </w:rPr>
        <w:t>1.加强专项资金管理，提高资金使用效益。在项目组织实施过程中，根据国家相关法律法规，结合本单位的财务管理规定，对专项资金管理使用做了统筹安排，统一部署，明确了工作职责和要求。</w:t>
      </w:r>
    </w:p>
    <w:p>
      <w:pPr>
        <w:ind w:firstLine="560" w:firstLineChars="200"/>
        <w:rPr>
          <w:rFonts w:hint="eastAsia" w:ascii="宋体" w:hAnsi="宋体"/>
          <w:sz w:val="28"/>
          <w:szCs w:val="28"/>
        </w:rPr>
      </w:pPr>
      <w:r>
        <w:rPr>
          <w:rFonts w:hint="eastAsia" w:ascii="宋体" w:hAnsi="宋体"/>
          <w:sz w:val="28"/>
          <w:szCs w:val="28"/>
        </w:rPr>
        <w:t>2.做好项目实施的跟踪检查工作，确保项目实施工作稳步推进，达到预期绩效目标。所有项目的日常管理工作均按照专项资金支付要求执行，全面完成了既定的工作目标，工作取得了较好的成效获得了社会公众的好评。</w:t>
      </w:r>
    </w:p>
    <w:p>
      <w:pPr>
        <w:ind w:firstLine="562" w:firstLineChars="200"/>
        <w:rPr>
          <w:rFonts w:ascii="宋体" w:hAnsi="宋体"/>
          <w:b/>
          <w:bCs/>
          <w:sz w:val="28"/>
          <w:szCs w:val="28"/>
        </w:rPr>
      </w:pPr>
      <w:r>
        <w:rPr>
          <w:rFonts w:hint="eastAsia" w:ascii="宋体" w:hAnsi="宋体"/>
          <w:b/>
          <w:bCs/>
          <w:sz w:val="28"/>
          <w:szCs w:val="28"/>
        </w:rPr>
        <w:t>三、下一步改进措施</w:t>
      </w:r>
    </w:p>
    <w:p>
      <w:pPr>
        <w:ind w:firstLine="560" w:firstLineChars="200"/>
        <w:rPr>
          <w:rFonts w:hint="eastAsia" w:ascii="宋体" w:hAnsi="宋体"/>
          <w:sz w:val="28"/>
          <w:szCs w:val="28"/>
        </w:rPr>
      </w:pPr>
      <w:r>
        <w:rPr>
          <w:rFonts w:hint="eastAsia" w:ascii="宋体" w:hAnsi="宋体"/>
          <w:sz w:val="28"/>
          <w:szCs w:val="28"/>
        </w:rPr>
        <w:t>一是建议加大对督学责任区经费项目的投入力度，提高教学环境和质量，促进教育事业的健康快速高质量发展。</w:t>
      </w:r>
    </w:p>
    <w:p>
      <w:pPr>
        <w:ind w:firstLine="560" w:firstLineChars="200"/>
        <w:rPr>
          <w:rFonts w:hint="eastAsia" w:ascii="宋体" w:hAnsi="宋体"/>
          <w:sz w:val="28"/>
          <w:szCs w:val="28"/>
        </w:rPr>
      </w:pPr>
      <w:r>
        <w:rPr>
          <w:rFonts w:hint="eastAsia" w:ascii="宋体" w:hAnsi="宋体"/>
          <w:sz w:val="28"/>
          <w:szCs w:val="28"/>
        </w:rPr>
        <w:t>二是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pPr>
        <w:rPr>
          <w:rFonts w:hint="eastAsia"/>
        </w:rPr>
      </w:pPr>
      <w:r>
        <w:rPr>
          <w:rFonts w:hint="eastAsia"/>
        </w:rPr>
        <w:t xml:space="preserve">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right"/>
        <w:rPr>
          <w:rFonts w:hint="eastAsia" w:ascii="宋体" w:hAnsi="宋体"/>
          <w:sz w:val="28"/>
          <w:szCs w:val="28"/>
        </w:rPr>
      </w:pPr>
      <w:r>
        <w:rPr>
          <w:rFonts w:hint="eastAsia" w:ascii="宋体" w:hAnsi="宋体"/>
          <w:sz w:val="28"/>
          <w:szCs w:val="28"/>
        </w:rPr>
        <w:t>江永县</w:t>
      </w:r>
      <w:r>
        <w:rPr>
          <w:rFonts w:hint="eastAsia" w:ascii="宋体" w:hAnsi="宋体"/>
          <w:sz w:val="28"/>
          <w:szCs w:val="28"/>
          <w:lang w:eastAsia="zh-CN"/>
        </w:rPr>
        <w:t>千家峒瑶族乡学校</w:t>
      </w:r>
      <w:r>
        <w:rPr>
          <w:rFonts w:hint="eastAsia" w:ascii="宋体" w:hAnsi="宋体"/>
          <w:sz w:val="28"/>
          <w:szCs w:val="28"/>
        </w:rPr>
        <w:t xml:space="preserve"> </w:t>
      </w:r>
    </w:p>
    <w:p>
      <w:pPr>
        <w:ind w:firstLine="5880" w:firstLineChars="2100"/>
        <w:rPr>
          <w:rFonts w:hint="eastAsia"/>
          <w:lang w:val="en-US" w:eastAsia="zh-CN"/>
        </w:rPr>
      </w:pPr>
      <w:r>
        <w:rPr>
          <w:rFonts w:hint="eastAsia" w:ascii="宋体" w:hAnsi="宋体"/>
          <w:sz w:val="28"/>
          <w:szCs w:val="28"/>
        </w:rPr>
        <w:t>2024年0</w:t>
      </w:r>
      <w:r>
        <w:rPr>
          <w:rFonts w:hint="eastAsia" w:ascii="宋体" w:hAnsi="宋体"/>
          <w:sz w:val="28"/>
          <w:szCs w:val="28"/>
          <w:lang w:val="en-US" w:eastAsia="zh-CN"/>
        </w:rPr>
        <w:t>4</w:t>
      </w:r>
      <w:r>
        <w:rPr>
          <w:rFonts w:hint="eastAsia" w:ascii="宋体" w:hAnsi="宋体"/>
          <w:sz w:val="28"/>
          <w:szCs w:val="28"/>
        </w:rPr>
        <w:t>月15日</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hint="eastAsia" w:ascii="黑体" w:hAnsi="黑体" w:eastAsia="黑体"/>
          <w:kern w:val="0"/>
          <w:sz w:val="44"/>
          <w:szCs w:val="44"/>
        </w:rPr>
      </w:pPr>
    </w:p>
    <w:p>
      <w:pPr>
        <w:widowControl/>
        <w:spacing w:line="560" w:lineRule="exact"/>
        <w:jc w:val="center"/>
        <w:rPr>
          <w:rFonts w:ascii="黑体" w:hAnsi="黑体" w:eastAsia="黑体"/>
          <w:kern w:val="0"/>
          <w:sz w:val="44"/>
          <w:szCs w:val="44"/>
        </w:rPr>
      </w:pPr>
      <w:r>
        <w:rPr>
          <w:rFonts w:hint="eastAsia" w:ascii="黑体" w:hAnsi="黑体" w:eastAsia="黑体"/>
          <w:kern w:val="0"/>
          <w:sz w:val="44"/>
          <w:szCs w:val="44"/>
        </w:rPr>
        <w:t>江永县</w:t>
      </w:r>
      <w:r>
        <w:rPr>
          <w:rFonts w:hint="eastAsia" w:ascii="黑体" w:hAnsi="黑体" w:eastAsia="黑体"/>
          <w:kern w:val="0"/>
          <w:sz w:val="44"/>
          <w:szCs w:val="44"/>
          <w:lang w:eastAsia="zh-CN"/>
        </w:rPr>
        <w:t>千家峒瑶族乡学校</w:t>
      </w:r>
      <w:r>
        <w:rPr>
          <w:rFonts w:ascii="黑体" w:hAnsi="黑体" w:eastAsia="黑体"/>
          <w:kern w:val="0"/>
          <w:sz w:val="44"/>
          <w:szCs w:val="44"/>
        </w:rPr>
        <w:t>财政专项（项目）</w:t>
      </w:r>
    </w:p>
    <w:p>
      <w:pPr>
        <w:widowControl/>
        <w:spacing w:line="560" w:lineRule="exact"/>
        <w:jc w:val="center"/>
        <w:rPr>
          <w:rFonts w:ascii="黑体" w:hAnsi="黑体" w:eastAsia="黑体"/>
          <w:kern w:val="0"/>
          <w:sz w:val="44"/>
          <w:szCs w:val="44"/>
        </w:rPr>
      </w:pPr>
      <w:r>
        <w:rPr>
          <w:rFonts w:ascii="黑体" w:hAnsi="黑体" w:eastAsia="黑体"/>
          <w:kern w:val="0"/>
          <w:sz w:val="44"/>
          <w:szCs w:val="44"/>
        </w:rPr>
        <w:t>资金绩效评价表</w:t>
      </w:r>
    </w:p>
    <w:tbl>
      <w:tblPr>
        <w:tblStyle w:val="4"/>
        <w:tblW w:w="0" w:type="auto"/>
        <w:jc w:val="center"/>
        <w:tblLayout w:type="fixed"/>
        <w:tblCellMar>
          <w:top w:w="0" w:type="dxa"/>
          <w:left w:w="108" w:type="dxa"/>
          <w:bottom w:w="0" w:type="dxa"/>
          <w:right w:w="108" w:type="dxa"/>
        </w:tblCellMar>
      </w:tblPr>
      <w:tblGrid>
        <w:gridCol w:w="656"/>
        <w:gridCol w:w="710"/>
        <w:gridCol w:w="1275"/>
        <w:gridCol w:w="3080"/>
        <w:gridCol w:w="4502"/>
        <w:gridCol w:w="385"/>
      </w:tblGrid>
      <w:tr>
        <w:tblPrEx>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noWrap w:val="0"/>
            <w:vAlign w:val="center"/>
          </w:tcPr>
          <w:p>
            <w:pPr>
              <w:widowControl/>
              <w:jc w:val="center"/>
              <w:rPr>
                <w:rFonts w:eastAsia="仿宋_GB2312"/>
                <w:b/>
                <w:bCs/>
                <w:color w:val="000000"/>
                <w:kern w:val="0"/>
                <w:sz w:val="20"/>
                <w:szCs w:val="20"/>
              </w:rPr>
            </w:pPr>
            <w:r>
              <w:rPr>
                <w:b/>
                <w:bCs/>
                <w:color w:val="000000"/>
                <w:kern w:val="0"/>
                <w:sz w:val="20"/>
                <w:szCs w:val="20"/>
              </w:rPr>
              <w:t>得分</w:t>
            </w:r>
          </w:p>
        </w:tc>
      </w:tr>
      <w:tr>
        <w:tblPrEx>
          <w:tblCellMar>
            <w:top w:w="0" w:type="dxa"/>
            <w:left w:w="108" w:type="dxa"/>
            <w:bottom w:w="0" w:type="dxa"/>
            <w:right w:w="108" w:type="dxa"/>
          </w:tblCellMar>
        </w:tblPrEx>
        <w:trPr>
          <w:trHeight w:val="452" w:hRule="atLeast"/>
          <w:jc w:val="center"/>
        </w:trPr>
        <w:tc>
          <w:tcPr>
            <w:tcW w:w="656"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noWrap w:val="0"/>
            <w:vAlign w:val="center"/>
          </w:tcPr>
          <w:p>
            <w:pPr>
              <w:widowControl/>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64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6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780"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2</w:t>
            </w:r>
          </w:p>
        </w:tc>
      </w:tr>
      <w:tr>
        <w:tblPrEx>
          <w:tblCellMar>
            <w:top w:w="0" w:type="dxa"/>
            <w:left w:w="108" w:type="dxa"/>
            <w:bottom w:w="0" w:type="dxa"/>
            <w:right w:w="108" w:type="dxa"/>
          </w:tblCellMar>
        </w:tblPrEx>
        <w:trPr>
          <w:trHeight w:val="86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noWrap w:val="0"/>
            <w:vAlign w:val="center"/>
          </w:tcPr>
          <w:p>
            <w:pPr>
              <w:jc w:val="center"/>
              <w:rPr>
                <w:rFonts w:ascii="仿宋_GB2312" w:hAnsi="宋体"/>
                <w:color w:val="000000"/>
                <w:kern w:val="0"/>
                <w:sz w:val="20"/>
                <w:szCs w:val="20"/>
              </w:rPr>
            </w:pPr>
            <w:r>
              <w:rPr>
                <w:rFonts w:ascii="仿宋_GB2312" w:hAnsi="宋体"/>
                <w:color w:val="000000"/>
                <w:kern w:val="0"/>
                <w:sz w:val="20"/>
                <w:szCs w:val="20"/>
              </w:rPr>
              <w:t>过程</w:t>
            </w:r>
          </w:p>
          <w:p>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85" w:type="dxa"/>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900" w:hRule="atLeast"/>
          <w:jc w:val="center"/>
        </w:trPr>
        <w:tc>
          <w:tcPr>
            <w:tcW w:w="65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single" w:color="auto" w:sz="4" w:space="0"/>
              <w:left w:val="single" w:color="auto" w:sz="4" w:space="0"/>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single" w:color="auto" w:sz="4" w:space="0"/>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single" w:color="auto" w:sz="4" w:space="0"/>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single" w:color="auto" w:sz="4" w:space="0"/>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896"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5</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pPr>
              <w:widowControl/>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824"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single" w:color="auto" w:sz="4" w:space="0"/>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1006" w:hRule="atLeast"/>
          <w:jc w:val="center"/>
        </w:trPr>
        <w:tc>
          <w:tcPr>
            <w:tcW w:w="65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single" w:color="auto" w:sz="4" w:space="0"/>
              <w:left w:val="single" w:color="auto" w:sz="4" w:space="0"/>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single" w:color="auto" w:sz="4" w:space="0"/>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single" w:color="auto" w:sz="4" w:space="0"/>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single" w:color="auto" w:sz="4" w:space="0"/>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效果</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color w:val="000000"/>
                <w:kern w:val="0"/>
                <w:sz w:val="24"/>
              </w:rPr>
            </w:pPr>
            <w:r>
              <w:rPr>
                <w:rFonts w:hint="eastAsia" w:ascii="宋体" w:hAnsi="宋体"/>
                <w:color w:val="000000"/>
                <w:kern w:val="0"/>
                <w:sz w:val="24"/>
              </w:rPr>
              <w:t>6</w:t>
            </w:r>
          </w:p>
        </w:tc>
      </w:tr>
      <w:tr>
        <w:tblPrEx>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noWrap w:val="0"/>
            <w:vAlign w:val="center"/>
          </w:tcPr>
          <w:p>
            <w:pPr>
              <w:widowControl/>
              <w:rPr>
                <w:rFonts w:hint="default" w:ascii="宋体" w:hAnsi="宋体" w:eastAsiaTheme="minorEastAsia"/>
                <w:color w:val="000000"/>
                <w:kern w:val="0"/>
                <w:sz w:val="24"/>
                <w:lang w:val="en-US" w:eastAsia="zh-CN"/>
              </w:rPr>
            </w:pPr>
            <w:r>
              <w:rPr>
                <w:rFonts w:hint="eastAsia" w:ascii="宋体" w:hAnsi="宋体"/>
                <w:color w:val="000000"/>
                <w:kern w:val="0"/>
                <w:sz w:val="24"/>
                <w:lang w:val="en-US" w:eastAsia="zh-CN"/>
              </w:rPr>
              <w:t>100</w:t>
            </w:r>
          </w:p>
        </w:tc>
      </w:tr>
    </w:tbl>
    <w:p>
      <w:pPr>
        <w:rPr>
          <w:rFonts w:hint="default"/>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Microsoft YaHei UI">
    <w:altName w:val="宋体"/>
    <w:panose1 w:val="020B0503020204020204"/>
    <w:charset w:val="86"/>
    <w:family w:val="auto"/>
    <w:pitch w:val="default"/>
    <w:sig w:usb0="00000000" w:usb1="00000000" w:usb2="00000016" w:usb3="00000000" w:csb0="0004001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lignBordersAndEdg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kYmI5NGZmYzhmZDRkNDFhMWNkZWY4NzM0OGViN2YifQ=="/>
  </w:docVars>
  <w:rsids>
    <w:rsidRoot w:val="007A6621"/>
    <w:rsid w:val="002E0D15"/>
    <w:rsid w:val="005448D6"/>
    <w:rsid w:val="007A6621"/>
    <w:rsid w:val="00820F4C"/>
    <w:rsid w:val="009260EA"/>
    <w:rsid w:val="00F93292"/>
    <w:rsid w:val="011C626C"/>
    <w:rsid w:val="01532FBE"/>
    <w:rsid w:val="03BB70E6"/>
    <w:rsid w:val="1253399A"/>
    <w:rsid w:val="13523092"/>
    <w:rsid w:val="178363BE"/>
    <w:rsid w:val="20062A54"/>
    <w:rsid w:val="28332094"/>
    <w:rsid w:val="2F8059D2"/>
    <w:rsid w:val="32732851"/>
    <w:rsid w:val="33157886"/>
    <w:rsid w:val="34851D0A"/>
    <w:rsid w:val="35AB06D2"/>
    <w:rsid w:val="35BC3084"/>
    <w:rsid w:val="396B47C6"/>
    <w:rsid w:val="3DB866D6"/>
    <w:rsid w:val="3EE64D47"/>
    <w:rsid w:val="3F605D17"/>
    <w:rsid w:val="41EA3897"/>
    <w:rsid w:val="454439CF"/>
    <w:rsid w:val="47677459"/>
    <w:rsid w:val="524D75F1"/>
    <w:rsid w:val="53E23F1B"/>
    <w:rsid w:val="5F8D3E32"/>
    <w:rsid w:val="600225BA"/>
    <w:rsid w:val="657038D9"/>
    <w:rsid w:val="66F34AE4"/>
    <w:rsid w:val="6D3B77C0"/>
    <w:rsid w:val="79FD69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heme="minorHAnsi" w:hAnsiTheme="minorHAnsi" w:eastAsiaTheme="minorEastAsia" w:cstheme="minorBidi"/>
      <w:kern w:val="2"/>
      <w:sz w:val="18"/>
      <w:szCs w:val="18"/>
    </w:rPr>
  </w:style>
  <w:style w:type="character" w:customStyle="1" w:styleId="7">
    <w:name w:val="页脚 Char"/>
    <w:basedOn w:val="5"/>
    <w:link w:val="2"/>
    <w:semiHidden/>
    <w:qFormat/>
    <w:uiPriority w:val="99"/>
    <w:rPr>
      <w:rFonts w:asciiTheme="minorHAnsi" w:hAnsiTheme="minorHAnsi" w:eastAsiaTheme="minorEastAsia" w:cstheme="minorBidi"/>
      <w:kern w:val="2"/>
      <w:sz w:val="18"/>
      <w:szCs w:val="18"/>
    </w:rPr>
  </w:style>
  <w:style w:type="character" w:customStyle="1" w:styleId="8">
    <w:name w:val="font21"/>
    <w:basedOn w:val="5"/>
    <w:qFormat/>
    <w:uiPriority w:val="0"/>
    <w:rPr>
      <w:rFonts w:hint="eastAsia" w:ascii="宋体" w:hAnsi="宋体" w:eastAsia="宋体" w:cs="宋体"/>
      <w:color w:val="000000"/>
      <w:sz w:val="22"/>
      <w:szCs w:val="22"/>
      <w:u w:val="none"/>
    </w:rPr>
  </w:style>
  <w:style w:type="character" w:customStyle="1" w:styleId="9">
    <w:name w:val="font41"/>
    <w:basedOn w:val="5"/>
    <w:qFormat/>
    <w:uiPriority w:val="0"/>
    <w:rPr>
      <w:rFonts w:ascii="Calibri" w:hAnsi="Calibri" w:cs="Calibri"/>
      <w:color w:val="000000"/>
      <w:sz w:val="21"/>
      <w:szCs w:val="21"/>
      <w:u w:val="none"/>
    </w:rPr>
  </w:style>
  <w:style w:type="character" w:customStyle="1" w:styleId="10">
    <w:name w:val="font81"/>
    <w:basedOn w:val="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814</Words>
  <Characters>4640</Characters>
  <Lines>38</Lines>
  <Paragraphs>10</Paragraphs>
  <TotalTime>15</TotalTime>
  <ScaleCrop>false</ScaleCrop>
  <LinksUpToDate>false</LinksUpToDate>
  <CharactersWithSpaces>5444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2024-03-19T07:04:00Z</dcterms:created>
  <dc:creator>Administrator</dc:creator>
  <cp:lastModifiedBy>Administrator</cp:lastModifiedBy>
  <cp:lastPrinted>2024-04-18T02:47:00Z</cp:lastPrinted>
  <dcterms:modified xsi:type="dcterms:W3CDTF">2024-12-25T01:46:04Z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EDB5DAB18E6C459C9B2A74713D4CE860_13</vt:lpwstr>
  </property>
</Properties>
</file>